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A17D70" w14:textId="77777777" w:rsidR="004936D2" w:rsidRPr="004936D2" w:rsidRDefault="004936D2" w:rsidP="004936D2">
      <w:pPr>
        <w:rPr>
          <w:rFonts w:ascii="Times New Roman" w:hAnsi="Times New Roman" w:cs="Times New Roman"/>
          <w:b/>
          <w:bCs/>
          <w:sz w:val="24"/>
          <w:szCs w:val="24"/>
          <w:lang w:val="en-US"/>
        </w:rPr>
      </w:pPr>
      <w:r w:rsidRPr="004936D2">
        <w:rPr>
          <w:rFonts w:ascii="Times New Roman" w:hAnsi="Times New Roman" w:cs="Times New Roman"/>
          <w:b/>
          <w:bCs/>
          <w:sz w:val="24"/>
          <w:szCs w:val="24"/>
          <w:lang w:val="en-US"/>
        </w:rPr>
        <w:t>Appendix A</w:t>
      </w:r>
    </w:p>
    <w:p w14:paraId="2E5621B5" w14:textId="77777777" w:rsidR="004936D2" w:rsidRPr="004936D2" w:rsidRDefault="004936D2" w:rsidP="004936D2">
      <w:pPr>
        <w:rPr>
          <w:rFonts w:ascii="Times New Roman" w:hAnsi="Times New Roman" w:cs="Times New Roman"/>
          <w:i/>
          <w:iCs/>
          <w:sz w:val="24"/>
          <w:szCs w:val="24"/>
          <w:lang w:val="en-US"/>
        </w:rPr>
      </w:pPr>
      <w:r w:rsidRPr="004936D2">
        <w:rPr>
          <w:rFonts w:ascii="Times New Roman" w:hAnsi="Times New Roman" w:cs="Times New Roman"/>
          <w:i/>
          <w:iCs/>
          <w:sz w:val="24"/>
          <w:szCs w:val="24"/>
          <w:lang w:val="en-US"/>
        </w:rPr>
        <w:t>Digital maturity models found in the literature</w:t>
      </w:r>
    </w:p>
    <w:tbl>
      <w:tblPr>
        <w:tblW w:w="5000" w:type="pct"/>
        <w:tblBorders>
          <w:top w:val="single" w:sz="8" w:space="0" w:color="000000"/>
          <w:insideH w:val="single" w:sz="4" w:space="0" w:color="auto"/>
        </w:tblBorders>
        <w:shd w:val="clear" w:color="auto" w:fill="FFFFFF" w:themeFill="background1"/>
        <w:tblCellMar>
          <w:left w:w="0" w:type="dxa"/>
          <w:right w:w="0" w:type="dxa"/>
        </w:tblCellMar>
        <w:tblLook w:val="0420" w:firstRow="1" w:lastRow="0" w:firstColumn="0" w:lastColumn="0" w:noHBand="0" w:noVBand="1"/>
      </w:tblPr>
      <w:tblGrid>
        <w:gridCol w:w="374"/>
        <w:gridCol w:w="1410"/>
        <w:gridCol w:w="1816"/>
        <w:gridCol w:w="317"/>
        <w:gridCol w:w="1717"/>
        <w:gridCol w:w="2562"/>
        <w:gridCol w:w="2315"/>
        <w:gridCol w:w="1215"/>
        <w:gridCol w:w="1280"/>
      </w:tblGrid>
      <w:tr w:rsidR="004936D2" w:rsidRPr="004936D2" w14:paraId="1CCA5017" w14:textId="77777777" w:rsidTr="00E85466">
        <w:trPr>
          <w:trHeight w:val="584"/>
          <w:tblHeader/>
        </w:trPr>
        <w:tc>
          <w:tcPr>
            <w:tcW w:w="144" w:type="pct"/>
            <w:shd w:val="clear" w:color="auto" w:fill="FFFFFF" w:themeFill="background1"/>
            <w:vAlign w:val="center"/>
          </w:tcPr>
          <w:p w14:paraId="70C7D236" w14:textId="77777777" w:rsidR="004936D2" w:rsidRPr="004936D2" w:rsidRDefault="004936D2" w:rsidP="00E85466">
            <w:pPr>
              <w:spacing w:line="240" w:lineRule="auto"/>
              <w:jc w:val="center"/>
              <w:rPr>
                <w:rFonts w:ascii="Times New Roman" w:eastAsia="Times New Roman" w:hAnsi="Times New Roman" w:cs="Times New Roman"/>
                <w:b/>
                <w:bCs/>
                <w:color w:val="000000"/>
                <w:kern w:val="24"/>
                <w:sz w:val="20"/>
                <w:szCs w:val="20"/>
                <w:lang w:eastAsia="es-CO"/>
              </w:rPr>
            </w:pPr>
          </w:p>
        </w:tc>
        <w:tc>
          <w:tcPr>
            <w:tcW w:w="542" w:type="pct"/>
            <w:shd w:val="clear" w:color="auto" w:fill="FFFFFF" w:themeFill="background1"/>
            <w:tcMar>
              <w:top w:w="72" w:type="dxa"/>
              <w:left w:w="144" w:type="dxa"/>
              <w:bottom w:w="72" w:type="dxa"/>
              <w:right w:w="144" w:type="dxa"/>
            </w:tcMar>
            <w:vAlign w:val="center"/>
            <w:hideMark/>
          </w:tcPr>
          <w:p w14:paraId="3CD84F2A"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b/>
                <w:bCs/>
                <w:color w:val="000000"/>
                <w:kern w:val="24"/>
                <w:sz w:val="20"/>
                <w:szCs w:val="20"/>
                <w:lang w:eastAsia="es-CO"/>
              </w:rPr>
              <w:t>Authors</w:t>
            </w:r>
            <w:proofErr w:type="spellEnd"/>
          </w:p>
        </w:tc>
        <w:tc>
          <w:tcPr>
            <w:tcW w:w="820" w:type="pct"/>
            <w:gridSpan w:val="2"/>
            <w:shd w:val="clear" w:color="auto" w:fill="FFFFFF" w:themeFill="background1"/>
            <w:tcMar>
              <w:top w:w="72" w:type="dxa"/>
              <w:left w:w="144" w:type="dxa"/>
              <w:bottom w:w="72" w:type="dxa"/>
              <w:right w:w="144" w:type="dxa"/>
            </w:tcMar>
            <w:vAlign w:val="center"/>
            <w:hideMark/>
          </w:tcPr>
          <w:p w14:paraId="5161C750"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b/>
                <w:bCs/>
                <w:color w:val="000000"/>
                <w:kern w:val="24"/>
                <w:sz w:val="20"/>
                <w:szCs w:val="20"/>
                <w:lang w:eastAsia="es-CO"/>
              </w:rPr>
              <w:t>Dimensions</w:t>
            </w:r>
            <w:proofErr w:type="spellEnd"/>
          </w:p>
        </w:tc>
        <w:tc>
          <w:tcPr>
            <w:tcW w:w="660" w:type="pct"/>
            <w:shd w:val="clear" w:color="auto" w:fill="FFFFFF" w:themeFill="background1"/>
            <w:tcMar>
              <w:top w:w="72" w:type="dxa"/>
              <w:left w:w="144" w:type="dxa"/>
              <w:bottom w:w="72" w:type="dxa"/>
              <w:right w:w="144" w:type="dxa"/>
            </w:tcMar>
            <w:vAlign w:val="center"/>
            <w:hideMark/>
          </w:tcPr>
          <w:p w14:paraId="2F2825B9"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b/>
                <w:bCs/>
                <w:color w:val="000000"/>
                <w:kern w:val="24"/>
                <w:sz w:val="20"/>
                <w:szCs w:val="20"/>
                <w:lang w:eastAsia="es-CO"/>
              </w:rPr>
              <w:t>Levels</w:t>
            </w:r>
            <w:proofErr w:type="spellEnd"/>
          </w:p>
        </w:tc>
        <w:tc>
          <w:tcPr>
            <w:tcW w:w="985" w:type="pct"/>
            <w:shd w:val="clear" w:color="auto" w:fill="FFFFFF" w:themeFill="background1"/>
            <w:tcMar>
              <w:top w:w="72" w:type="dxa"/>
              <w:left w:w="144" w:type="dxa"/>
              <w:bottom w:w="72" w:type="dxa"/>
              <w:right w:w="144" w:type="dxa"/>
            </w:tcMar>
            <w:vAlign w:val="center"/>
            <w:hideMark/>
          </w:tcPr>
          <w:p w14:paraId="323C05FF"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b/>
                <w:bCs/>
                <w:color w:val="000000"/>
                <w:kern w:val="24"/>
                <w:sz w:val="20"/>
                <w:szCs w:val="20"/>
                <w:lang w:eastAsia="es-CO"/>
              </w:rPr>
              <w:t>Aim</w:t>
            </w:r>
            <w:proofErr w:type="spellEnd"/>
          </w:p>
        </w:tc>
        <w:tc>
          <w:tcPr>
            <w:tcW w:w="890" w:type="pct"/>
            <w:shd w:val="clear" w:color="auto" w:fill="FFFFFF" w:themeFill="background1"/>
            <w:tcMar>
              <w:top w:w="72" w:type="dxa"/>
              <w:left w:w="144" w:type="dxa"/>
              <w:bottom w:w="72" w:type="dxa"/>
              <w:right w:w="144" w:type="dxa"/>
            </w:tcMar>
            <w:vAlign w:val="center"/>
            <w:hideMark/>
          </w:tcPr>
          <w:p w14:paraId="43BECEAB"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b/>
                <w:bCs/>
                <w:color w:val="000000"/>
                <w:kern w:val="24"/>
                <w:sz w:val="20"/>
                <w:szCs w:val="20"/>
                <w:lang w:eastAsia="es-CO"/>
              </w:rPr>
              <w:t>Need</w:t>
            </w:r>
            <w:proofErr w:type="spellEnd"/>
          </w:p>
        </w:tc>
        <w:tc>
          <w:tcPr>
            <w:tcW w:w="467" w:type="pct"/>
            <w:shd w:val="clear" w:color="auto" w:fill="FFFFFF" w:themeFill="background1"/>
            <w:tcMar>
              <w:top w:w="72" w:type="dxa"/>
              <w:left w:w="144" w:type="dxa"/>
              <w:bottom w:w="72" w:type="dxa"/>
              <w:right w:w="144" w:type="dxa"/>
            </w:tcMar>
            <w:vAlign w:val="center"/>
            <w:hideMark/>
          </w:tcPr>
          <w:p w14:paraId="0A0B5775"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b/>
                <w:bCs/>
                <w:color w:val="000000"/>
                <w:kern w:val="24"/>
                <w:sz w:val="20"/>
                <w:szCs w:val="20"/>
                <w:lang w:eastAsia="es-CO"/>
              </w:rPr>
              <w:t>Size</w:t>
            </w:r>
            <w:proofErr w:type="spellEnd"/>
          </w:p>
        </w:tc>
        <w:tc>
          <w:tcPr>
            <w:tcW w:w="493" w:type="pct"/>
            <w:shd w:val="clear" w:color="auto" w:fill="FFFFFF" w:themeFill="background1"/>
            <w:tcMar>
              <w:top w:w="72" w:type="dxa"/>
              <w:left w:w="144" w:type="dxa"/>
              <w:bottom w:w="72" w:type="dxa"/>
              <w:right w:w="144" w:type="dxa"/>
            </w:tcMar>
            <w:vAlign w:val="center"/>
            <w:hideMark/>
          </w:tcPr>
          <w:p w14:paraId="7026D51B"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b/>
                <w:bCs/>
                <w:color w:val="000000"/>
                <w:kern w:val="24"/>
                <w:sz w:val="20"/>
                <w:szCs w:val="20"/>
                <w:lang w:eastAsia="es-CO"/>
              </w:rPr>
              <w:t>Type</w:t>
            </w:r>
            <w:proofErr w:type="spellEnd"/>
            <w:r w:rsidRPr="004936D2">
              <w:rPr>
                <w:rFonts w:ascii="Times New Roman" w:eastAsia="Times New Roman" w:hAnsi="Times New Roman" w:cs="Times New Roman"/>
                <w:b/>
                <w:bCs/>
                <w:color w:val="000000"/>
                <w:kern w:val="24"/>
                <w:sz w:val="20"/>
                <w:szCs w:val="20"/>
                <w:lang w:eastAsia="es-CO"/>
              </w:rPr>
              <w:t xml:space="preserve"> </w:t>
            </w:r>
            <w:proofErr w:type="spellStart"/>
            <w:r w:rsidRPr="004936D2">
              <w:rPr>
                <w:rFonts w:ascii="Times New Roman" w:eastAsia="Times New Roman" w:hAnsi="Times New Roman" w:cs="Times New Roman"/>
                <w:b/>
                <w:bCs/>
                <w:color w:val="000000"/>
                <w:kern w:val="24"/>
                <w:sz w:val="20"/>
                <w:szCs w:val="20"/>
                <w:lang w:eastAsia="es-CO"/>
              </w:rPr>
              <w:t>of</w:t>
            </w:r>
            <w:proofErr w:type="spellEnd"/>
            <w:r w:rsidRPr="004936D2">
              <w:rPr>
                <w:rFonts w:ascii="Times New Roman" w:eastAsia="Times New Roman" w:hAnsi="Times New Roman" w:cs="Times New Roman"/>
                <w:b/>
                <w:bCs/>
                <w:color w:val="000000"/>
                <w:kern w:val="24"/>
                <w:sz w:val="20"/>
                <w:szCs w:val="20"/>
                <w:lang w:eastAsia="es-CO"/>
              </w:rPr>
              <w:t xml:space="preserve"> </w:t>
            </w:r>
            <w:proofErr w:type="spellStart"/>
            <w:r w:rsidRPr="004936D2">
              <w:rPr>
                <w:rFonts w:ascii="Times New Roman" w:eastAsia="Times New Roman" w:hAnsi="Times New Roman" w:cs="Times New Roman"/>
                <w:b/>
                <w:bCs/>
                <w:color w:val="000000"/>
                <w:kern w:val="24"/>
                <w:sz w:val="20"/>
                <w:szCs w:val="20"/>
                <w:lang w:eastAsia="es-CO"/>
              </w:rPr>
              <w:t>study</w:t>
            </w:r>
            <w:proofErr w:type="spellEnd"/>
          </w:p>
        </w:tc>
      </w:tr>
      <w:tr w:rsidR="004936D2" w:rsidRPr="004936D2" w14:paraId="4C3578B0" w14:textId="77777777" w:rsidTr="00E85466">
        <w:tc>
          <w:tcPr>
            <w:tcW w:w="144" w:type="pct"/>
            <w:shd w:val="clear" w:color="auto" w:fill="FFFFFF" w:themeFill="background1"/>
            <w:vAlign w:val="center"/>
          </w:tcPr>
          <w:p w14:paraId="186F4FC2" w14:textId="77777777" w:rsidR="004936D2" w:rsidRPr="004936D2" w:rsidRDefault="004936D2" w:rsidP="00E85466">
            <w:pPr>
              <w:spacing w:line="240" w:lineRule="auto"/>
              <w:jc w:val="center"/>
              <w:rPr>
                <w:rFonts w:ascii="Times New Roman" w:eastAsia="Times New Roman" w:hAnsi="Times New Roman" w:cs="Times New Roman"/>
                <w:color w:val="000000"/>
                <w:kern w:val="24"/>
                <w:sz w:val="20"/>
                <w:szCs w:val="20"/>
                <w:lang w:eastAsia="es-CO"/>
              </w:rPr>
            </w:pPr>
            <w:r w:rsidRPr="004936D2">
              <w:rPr>
                <w:rFonts w:ascii="Times New Roman" w:eastAsia="Times New Roman" w:hAnsi="Times New Roman" w:cs="Times New Roman"/>
                <w:color w:val="000000"/>
                <w:kern w:val="24"/>
                <w:sz w:val="20"/>
                <w:szCs w:val="20"/>
                <w:lang w:eastAsia="es-CO"/>
              </w:rPr>
              <w:t>1</w:t>
            </w:r>
          </w:p>
        </w:tc>
        <w:tc>
          <w:tcPr>
            <w:tcW w:w="542" w:type="pct"/>
            <w:shd w:val="clear" w:color="auto" w:fill="FFFFFF" w:themeFill="background1"/>
            <w:tcMar>
              <w:top w:w="72" w:type="dxa"/>
              <w:left w:w="144" w:type="dxa"/>
              <w:bottom w:w="72" w:type="dxa"/>
              <w:right w:w="144" w:type="dxa"/>
            </w:tcMar>
            <w:vAlign w:val="center"/>
            <w:hideMark/>
          </w:tcPr>
          <w:p w14:paraId="0153914F"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color w:val="000000"/>
                <w:kern w:val="24"/>
                <w:sz w:val="20"/>
                <w:szCs w:val="20"/>
                <w:lang w:eastAsia="es-CO"/>
              </w:rPr>
              <w:t xml:space="preserve">Minh, HP; </w:t>
            </w:r>
            <w:proofErr w:type="spellStart"/>
            <w:r w:rsidRPr="004936D2">
              <w:rPr>
                <w:rFonts w:ascii="Times New Roman" w:eastAsia="Times New Roman" w:hAnsi="Times New Roman" w:cs="Times New Roman"/>
                <w:color w:val="000000"/>
                <w:kern w:val="24"/>
                <w:sz w:val="20"/>
                <w:szCs w:val="20"/>
                <w:lang w:eastAsia="es-CO"/>
              </w:rPr>
              <w:t>Thanh</w:t>
            </w:r>
            <w:proofErr w:type="spellEnd"/>
            <w:r w:rsidRPr="004936D2">
              <w:rPr>
                <w:rFonts w:ascii="Times New Roman" w:eastAsia="Times New Roman" w:hAnsi="Times New Roman" w:cs="Times New Roman"/>
                <w:color w:val="000000"/>
                <w:kern w:val="24"/>
                <w:sz w:val="20"/>
                <w:szCs w:val="20"/>
                <w:lang w:eastAsia="es-CO"/>
              </w:rPr>
              <w:t>, HPT</w:t>
            </w:r>
          </w:p>
        </w:tc>
        <w:tc>
          <w:tcPr>
            <w:tcW w:w="820" w:type="pct"/>
            <w:gridSpan w:val="2"/>
            <w:shd w:val="clear" w:color="auto" w:fill="FFFFFF" w:themeFill="background1"/>
            <w:tcMar>
              <w:top w:w="72" w:type="dxa"/>
              <w:left w:w="144" w:type="dxa"/>
              <w:bottom w:w="72" w:type="dxa"/>
              <w:right w:w="144" w:type="dxa"/>
            </w:tcMar>
            <w:vAlign w:val="center"/>
            <w:hideMark/>
          </w:tcPr>
          <w:p w14:paraId="7DFA3047"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color w:val="000000"/>
                <w:kern w:val="24"/>
                <w:sz w:val="20"/>
                <w:szCs w:val="20"/>
                <w:lang w:val="en-US" w:eastAsia="es-CO"/>
              </w:rPr>
              <w:t>Organization, process, strategy, client, culture, information technology.</w:t>
            </w:r>
          </w:p>
        </w:tc>
        <w:tc>
          <w:tcPr>
            <w:tcW w:w="660" w:type="pct"/>
            <w:shd w:val="clear" w:color="auto" w:fill="FFFFFF" w:themeFill="background1"/>
            <w:tcMar>
              <w:top w:w="15" w:type="dxa"/>
              <w:left w:w="108" w:type="dxa"/>
              <w:bottom w:w="0" w:type="dxa"/>
              <w:right w:w="108" w:type="dxa"/>
            </w:tcMar>
            <w:vAlign w:val="center"/>
            <w:hideMark/>
          </w:tcPr>
          <w:p w14:paraId="021B16EC"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w:t>
            </w:r>
          </w:p>
        </w:tc>
        <w:tc>
          <w:tcPr>
            <w:tcW w:w="985" w:type="pct"/>
            <w:shd w:val="clear" w:color="auto" w:fill="FFFFFF" w:themeFill="background1"/>
            <w:tcMar>
              <w:top w:w="72" w:type="dxa"/>
              <w:left w:w="144" w:type="dxa"/>
              <w:bottom w:w="72" w:type="dxa"/>
              <w:right w:w="144" w:type="dxa"/>
            </w:tcMar>
            <w:vAlign w:val="center"/>
            <w:hideMark/>
          </w:tcPr>
          <w:p w14:paraId="644B15CD" w14:textId="77777777" w:rsidR="004936D2" w:rsidRPr="004936D2" w:rsidRDefault="004936D2" w:rsidP="00E85466">
            <w:pPr>
              <w:spacing w:line="256"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color w:val="000000"/>
                <w:kern w:val="24"/>
                <w:sz w:val="20"/>
                <w:szCs w:val="20"/>
                <w:lang w:val="en-US" w:eastAsia="es-CO"/>
              </w:rPr>
              <w:t>To clarify the current state of the DMM field, including its essential characteristics, common elements, development and application methods and techniques, and to identify the main areas of ongoing research.</w:t>
            </w:r>
          </w:p>
        </w:tc>
        <w:tc>
          <w:tcPr>
            <w:tcW w:w="890" w:type="pct"/>
            <w:shd w:val="clear" w:color="auto" w:fill="FFFFFF" w:themeFill="background1"/>
            <w:tcMar>
              <w:top w:w="72" w:type="dxa"/>
              <w:left w:w="144" w:type="dxa"/>
              <w:bottom w:w="72" w:type="dxa"/>
              <w:right w:w="144" w:type="dxa"/>
            </w:tcMar>
            <w:vAlign w:val="center"/>
            <w:hideMark/>
          </w:tcPr>
          <w:p w14:paraId="2F9050E9"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color w:val="000000"/>
                <w:kern w:val="24"/>
                <w:sz w:val="20"/>
                <w:szCs w:val="20"/>
                <w:lang w:val="en-US" w:eastAsia="es-CO"/>
              </w:rPr>
              <w:t>Lack of standardization in component nomenclature, a need for low-budget contextualized DMMs accessible to SMEs, and a lack of guidance on how to efficiently integrate DMM processes into a continuous and dynamic digital transformation process.</w:t>
            </w:r>
          </w:p>
        </w:tc>
        <w:tc>
          <w:tcPr>
            <w:tcW w:w="467" w:type="pct"/>
            <w:shd w:val="clear" w:color="auto" w:fill="FFFFFF" w:themeFill="background1"/>
            <w:tcMar>
              <w:top w:w="72" w:type="dxa"/>
              <w:left w:w="144" w:type="dxa"/>
              <w:bottom w:w="72" w:type="dxa"/>
              <w:right w:w="144" w:type="dxa"/>
            </w:tcMar>
            <w:vAlign w:val="center"/>
            <w:hideMark/>
          </w:tcPr>
          <w:p w14:paraId="4E7CD9A7"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color w:val="000000"/>
                <w:kern w:val="24"/>
                <w:sz w:val="20"/>
                <w:szCs w:val="20"/>
                <w:lang w:eastAsia="es-CO"/>
              </w:rPr>
              <w:t>SMEs</w:t>
            </w:r>
            <w:proofErr w:type="spellEnd"/>
          </w:p>
        </w:tc>
        <w:tc>
          <w:tcPr>
            <w:tcW w:w="493" w:type="pct"/>
            <w:shd w:val="clear" w:color="auto" w:fill="FFFFFF" w:themeFill="background1"/>
            <w:tcMar>
              <w:top w:w="72" w:type="dxa"/>
              <w:left w:w="144" w:type="dxa"/>
              <w:bottom w:w="72" w:type="dxa"/>
              <w:right w:w="144" w:type="dxa"/>
            </w:tcMar>
            <w:vAlign w:val="center"/>
            <w:hideMark/>
          </w:tcPr>
          <w:p w14:paraId="26B6C1CC"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w:t>
            </w:r>
          </w:p>
        </w:tc>
      </w:tr>
      <w:tr w:rsidR="004936D2" w:rsidRPr="004936D2" w14:paraId="7BF32829" w14:textId="77777777" w:rsidTr="00E85466">
        <w:tc>
          <w:tcPr>
            <w:tcW w:w="144" w:type="pct"/>
            <w:shd w:val="clear" w:color="auto" w:fill="FFFFFF" w:themeFill="background1"/>
            <w:vAlign w:val="center"/>
          </w:tcPr>
          <w:p w14:paraId="3A63E003" w14:textId="77777777" w:rsidR="004936D2" w:rsidRPr="004936D2" w:rsidRDefault="004936D2" w:rsidP="00E85466">
            <w:pPr>
              <w:spacing w:line="240" w:lineRule="auto"/>
              <w:jc w:val="center"/>
              <w:textAlignment w:val="bottom"/>
              <w:rPr>
                <w:rFonts w:ascii="Times New Roman" w:eastAsia="Times New Roman" w:hAnsi="Times New Roman" w:cs="Times New Roman"/>
                <w:color w:val="000000"/>
                <w:kern w:val="24"/>
                <w:sz w:val="20"/>
                <w:szCs w:val="20"/>
                <w:lang w:eastAsia="es-CO"/>
              </w:rPr>
            </w:pPr>
            <w:r w:rsidRPr="004936D2">
              <w:rPr>
                <w:rFonts w:ascii="Times New Roman" w:eastAsia="Times New Roman" w:hAnsi="Times New Roman" w:cs="Times New Roman"/>
                <w:color w:val="000000"/>
                <w:kern w:val="24"/>
                <w:sz w:val="20"/>
                <w:szCs w:val="20"/>
                <w:lang w:eastAsia="es-CO"/>
              </w:rPr>
              <w:t>2</w:t>
            </w:r>
          </w:p>
        </w:tc>
        <w:tc>
          <w:tcPr>
            <w:tcW w:w="542" w:type="pct"/>
            <w:shd w:val="clear" w:color="auto" w:fill="FFFFFF" w:themeFill="background1"/>
            <w:tcMar>
              <w:top w:w="15" w:type="dxa"/>
              <w:left w:w="15" w:type="dxa"/>
              <w:bottom w:w="72" w:type="dxa"/>
              <w:right w:w="15" w:type="dxa"/>
            </w:tcMar>
            <w:vAlign w:val="center"/>
          </w:tcPr>
          <w:p w14:paraId="2495B865" w14:textId="77777777" w:rsidR="004936D2" w:rsidRPr="004936D2" w:rsidRDefault="004936D2" w:rsidP="00E85466">
            <w:pPr>
              <w:spacing w:line="240" w:lineRule="auto"/>
              <w:jc w:val="center"/>
              <w:textAlignment w:val="bottom"/>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Sándor, A; Gubán, A</w:t>
            </w:r>
          </w:p>
        </w:tc>
        <w:tc>
          <w:tcPr>
            <w:tcW w:w="698" w:type="pct"/>
            <w:shd w:val="clear" w:color="auto" w:fill="FFFFFF" w:themeFill="background1"/>
            <w:tcMar>
              <w:top w:w="15" w:type="dxa"/>
              <w:left w:w="15" w:type="dxa"/>
              <w:bottom w:w="72" w:type="dxa"/>
              <w:right w:w="15" w:type="dxa"/>
            </w:tcMar>
            <w:vAlign w:val="center"/>
          </w:tcPr>
          <w:p w14:paraId="1ECFC459" w14:textId="77777777" w:rsidR="004936D2" w:rsidRPr="004936D2" w:rsidRDefault="004936D2" w:rsidP="00E85466">
            <w:pPr>
              <w:spacing w:line="240" w:lineRule="auto"/>
              <w:jc w:val="center"/>
              <w:textAlignment w:val="bottom"/>
              <w:rPr>
                <w:rFonts w:ascii="Times New Roman" w:eastAsia="Times New Roman" w:hAnsi="Times New Roman" w:cs="Times New Roman"/>
                <w:color w:val="000000"/>
                <w:sz w:val="20"/>
                <w:szCs w:val="20"/>
                <w:lang w:val="en-US" w:eastAsia="es-CO"/>
              </w:rPr>
            </w:pPr>
            <w:r w:rsidRPr="004936D2">
              <w:rPr>
                <w:rFonts w:ascii="Times New Roman" w:eastAsia="Times New Roman" w:hAnsi="Times New Roman" w:cs="Times New Roman"/>
                <w:sz w:val="20"/>
                <w:szCs w:val="20"/>
                <w:lang w:val="en-US" w:eastAsia="es-CO"/>
              </w:rPr>
              <w:t>IT and organizational (technical solutions, organizational software, hardware, online presence, corporate culture and innovation capacity).</w:t>
            </w:r>
          </w:p>
        </w:tc>
        <w:tc>
          <w:tcPr>
            <w:tcW w:w="782" w:type="pct"/>
            <w:gridSpan w:val="2"/>
            <w:shd w:val="clear" w:color="auto" w:fill="FFFFFF" w:themeFill="background1"/>
            <w:tcMar>
              <w:top w:w="72" w:type="dxa"/>
              <w:left w:w="144" w:type="dxa"/>
              <w:bottom w:w="72" w:type="dxa"/>
              <w:right w:w="144" w:type="dxa"/>
            </w:tcMar>
            <w:vAlign w:val="center"/>
          </w:tcPr>
          <w:p w14:paraId="23AC5304"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w:t>
            </w:r>
          </w:p>
        </w:tc>
        <w:tc>
          <w:tcPr>
            <w:tcW w:w="985" w:type="pct"/>
            <w:shd w:val="clear" w:color="auto" w:fill="FFFFFF" w:themeFill="background1"/>
            <w:tcMar>
              <w:top w:w="15" w:type="dxa"/>
              <w:left w:w="15" w:type="dxa"/>
              <w:bottom w:w="72" w:type="dxa"/>
              <w:right w:w="15" w:type="dxa"/>
            </w:tcMar>
            <w:vAlign w:val="center"/>
          </w:tcPr>
          <w:p w14:paraId="24F97B46" w14:textId="77777777" w:rsidR="004936D2" w:rsidRPr="004936D2" w:rsidRDefault="004936D2" w:rsidP="00E85466">
            <w:pPr>
              <w:spacing w:line="240" w:lineRule="auto"/>
              <w:jc w:val="center"/>
              <w:textAlignment w:val="bottom"/>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Develop an objective measurement tool to help SMEs assess their digital maturity and make appropriate decisions to facilitate their progress and increase their competitiveness.</w:t>
            </w:r>
          </w:p>
        </w:tc>
        <w:tc>
          <w:tcPr>
            <w:tcW w:w="890" w:type="pct"/>
            <w:shd w:val="clear" w:color="auto" w:fill="FFFFFF" w:themeFill="background1"/>
            <w:tcMar>
              <w:top w:w="15" w:type="dxa"/>
              <w:left w:w="15" w:type="dxa"/>
              <w:bottom w:w="72" w:type="dxa"/>
              <w:right w:w="15" w:type="dxa"/>
            </w:tcMar>
            <w:vAlign w:val="center"/>
          </w:tcPr>
          <w:p w14:paraId="11FAF676" w14:textId="77777777" w:rsidR="004936D2" w:rsidRPr="004936D2" w:rsidRDefault="004936D2" w:rsidP="00E85466">
            <w:pPr>
              <w:spacing w:line="240" w:lineRule="auto"/>
              <w:jc w:val="center"/>
              <w:textAlignment w:val="bottom"/>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The need to develop the DMTA model arises from the importance of digitalization for SMEs, especially how adequate IT infrastructure and technological knowledge are essential for business success in the digital age.</w:t>
            </w:r>
          </w:p>
        </w:tc>
        <w:tc>
          <w:tcPr>
            <w:tcW w:w="467" w:type="pct"/>
            <w:shd w:val="clear" w:color="auto" w:fill="FFFFFF" w:themeFill="background1"/>
            <w:tcMar>
              <w:top w:w="72" w:type="dxa"/>
              <w:left w:w="144" w:type="dxa"/>
              <w:bottom w:w="72" w:type="dxa"/>
              <w:right w:w="144" w:type="dxa"/>
            </w:tcMar>
            <w:vAlign w:val="center"/>
          </w:tcPr>
          <w:p w14:paraId="63CDD206"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SMEs</w:t>
            </w:r>
            <w:proofErr w:type="spellEnd"/>
          </w:p>
        </w:tc>
        <w:tc>
          <w:tcPr>
            <w:tcW w:w="493" w:type="pct"/>
            <w:shd w:val="clear" w:color="auto" w:fill="FFFFFF" w:themeFill="background1"/>
            <w:tcMar>
              <w:top w:w="72" w:type="dxa"/>
              <w:left w:w="144" w:type="dxa"/>
              <w:bottom w:w="72" w:type="dxa"/>
              <w:right w:w="144" w:type="dxa"/>
            </w:tcMar>
            <w:vAlign w:val="center"/>
          </w:tcPr>
          <w:p w14:paraId="69FF231E"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Quantitative</w:t>
            </w:r>
            <w:proofErr w:type="spellEnd"/>
          </w:p>
        </w:tc>
      </w:tr>
      <w:tr w:rsidR="004936D2" w:rsidRPr="004936D2" w14:paraId="3DFD8EA6" w14:textId="77777777" w:rsidTr="00E85466">
        <w:trPr>
          <w:trHeight w:val="2873"/>
        </w:trPr>
        <w:tc>
          <w:tcPr>
            <w:tcW w:w="144" w:type="pct"/>
            <w:shd w:val="clear" w:color="auto" w:fill="FFFFFF" w:themeFill="background1"/>
            <w:vAlign w:val="center"/>
          </w:tcPr>
          <w:p w14:paraId="3A58AD2C" w14:textId="77777777" w:rsidR="004936D2" w:rsidRPr="004936D2" w:rsidRDefault="004936D2" w:rsidP="00E85466">
            <w:pPr>
              <w:spacing w:line="240" w:lineRule="auto"/>
              <w:jc w:val="center"/>
              <w:rPr>
                <w:rFonts w:ascii="Times New Roman" w:eastAsia="Times New Roman" w:hAnsi="Times New Roman" w:cs="Times New Roman"/>
                <w:sz w:val="20"/>
                <w:szCs w:val="20"/>
                <w:lang w:val="fi-FI" w:eastAsia="es-CO"/>
              </w:rPr>
            </w:pPr>
            <w:r w:rsidRPr="004936D2">
              <w:rPr>
                <w:rFonts w:ascii="Times New Roman" w:eastAsia="Times New Roman" w:hAnsi="Times New Roman" w:cs="Times New Roman"/>
                <w:sz w:val="20"/>
                <w:szCs w:val="20"/>
                <w:lang w:val="fi-FI" w:eastAsia="es-CO"/>
              </w:rPr>
              <w:lastRenderedPageBreak/>
              <w:t>3</w:t>
            </w:r>
          </w:p>
        </w:tc>
        <w:tc>
          <w:tcPr>
            <w:tcW w:w="542" w:type="pct"/>
            <w:shd w:val="clear" w:color="auto" w:fill="FFFFFF" w:themeFill="background1"/>
            <w:tcMar>
              <w:top w:w="72" w:type="dxa"/>
              <w:left w:w="144" w:type="dxa"/>
              <w:bottom w:w="72" w:type="dxa"/>
              <w:right w:w="144" w:type="dxa"/>
            </w:tcMar>
            <w:vAlign w:val="center"/>
            <w:hideMark/>
          </w:tcPr>
          <w:p w14:paraId="76F8499F" w14:textId="77777777" w:rsidR="004936D2" w:rsidRPr="004936D2" w:rsidRDefault="004936D2" w:rsidP="00E85466">
            <w:pPr>
              <w:spacing w:line="240" w:lineRule="auto"/>
              <w:jc w:val="center"/>
              <w:rPr>
                <w:rFonts w:ascii="Times New Roman" w:eastAsia="Times New Roman" w:hAnsi="Times New Roman" w:cs="Times New Roman"/>
                <w:sz w:val="20"/>
                <w:szCs w:val="20"/>
                <w:lang w:val="fi-FI" w:eastAsia="es-CO"/>
              </w:rPr>
            </w:pPr>
            <w:r w:rsidRPr="004936D2">
              <w:rPr>
                <w:rFonts w:ascii="Times New Roman" w:eastAsia="Times New Roman" w:hAnsi="Times New Roman" w:cs="Times New Roman"/>
                <w:sz w:val="20"/>
                <w:szCs w:val="20"/>
                <w:lang w:eastAsia="es-CO"/>
              </w:rPr>
              <w:t xml:space="preserve">Amaral, A; </w:t>
            </w:r>
            <w:proofErr w:type="spellStart"/>
            <w:r w:rsidRPr="004936D2">
              <w:rPr>
                <w:rFonts w:ascii="Times New Roman" w:eastAsia="Times New Roman" w:hAnsi="Times New Roman" w:cs="Times New Roman"/>
                <w:sz w:val="20"/>
                <w:szCs w:val="20"/>
                <w:lang w:eastAsia="es-CO"/>
              </w:rPr>
              <w:t>Peças</w:t>
            </w:r>
            <w:proofErr w:type="spellEnd"/>
            <w:r w:rsidRPr="004936D2">
              <w:rPr>
                <w:rFonts w:ascii="Times New Roman" w:eastAsia="Times New Roman" w:hAnsi="Times New Roman" w:cs="Times New Roman"/>
                <w:sz w:val="20"/>
                <w:szCs w:val="20"/>
                <w:lang w:eastAsia="es-CO"/>
              </w:rPr>
              <w:t>, P</w:t>
            </w:r>
          </w:p>
        </w:tc>
        <w:tc>
          <w:tcPr>
            <w:tcW w:w="820" w:type="pct"/>
            <w:gridSpan w:val="2"/>
            <w:shd w:val="clear" w:color="auto" w:fill="FFFFFF" w:themeFill="background1"/>
            <w:tcMar>
              <w:top w:w="72" w:type="dxa"/>
              <w:left w:w="144" w:type="dxa"/>
              <w:bottom w:w="72" w:type="dxa"/>
              <w:right w:w="144" w:type="dxa"/>
            </w:tcMar>
            <w:vAlign w:val="center"/>
            <w:hideMark/>
          </w:tcPr>
          <w:p w14:paraId="2E2D5465"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Technology, production process, person, smart product, organization, change.</w:t>
            </w:r>
          </w:p>
        </w:tc>
        <w:tc>
          <w:tcPr>
            <w:tcW w:w="660" w:type="pct"/>
            <w:shd w:val="clear" w:color="auto" w:fill="FFFFFF" w:themeFill="background1"/>
            <w:tcMar>
              <w:top w:w="72" w:type="dxa"/>
              <w:left w:w="144" w:type="dxa"/>
              <w:bottom w:w="72" w:type="dxa"/>
              <w:right w:w="144" w:type="dxa"/>
            </w:tcMar>
            <w:vAlign w:val="center"/>
            <w:hideMark/>
          </w:tcPr>
          <w:p w14:paraId="1C0B7572"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 xml:space="preserve">6 </w:t>
            </w:r>
            <w:proofErr w:type="spellStart"/>
            <w:r w:rsidRPr="004936D2">
              <w:rPr>
                <w:rFonts w:ascii="Times New Roman" w:eastAsia="Times New Roman" w:hAnsi="Times New Roman" w:cs="Times New Roman"/>
                <w:sz w:val="20"/>
                <w:szCs w:val="20"/>
                <w:lang w:eastAsia="es-CO"/>
              </w:rPr>
              <w:t>levels</w:t>
            </w:r>
            <w:proofErr w:type="spellEnd"/>
          </w:p>
        </w:tc>
        <w:tc>
          <w:tcPr>
            <w:tcW w:w="985" w:type="pct"/>
            <w:shd w:val="clear" w:color="auto" w:fill="FFFFFF" w:themeFill="background1"/>
            <w:tcMar>
              <w:top w:w="72" w:type="dxa"/>
              <w:left w:w="144" w:type="dxa"/>
              <w:bottom w:w="72" w:type="dxa"/>
              <w:right w:w="144" w:type="dxa"/>
            </w:tcMar>
            <w:vAlign w:val="center"/>
            <w:hideMark/>
          </w:tcPr>
          <w:p w14:paraId="7EA54637"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Provide a framework tailored to SMEs that allows them to assess their level of maturity in relation to Industry 4.0 and facilitate their integration into this industrial revolution.</w:t>
            </w:r>
          </w:p>
        </w:tc>
        <w:tc>
          <w:tcPr>
            <w:tcW w:w="890" w:type="pct"/>
            <w:shd w:val="clear" w:color="auto" w:fill="FFFFFF" w:themeFill="background1"/>
            <w:tcMar>
              <w:top w:w="72" w:type="dxa"/>
              <w:left w:w="144" w:type="dxa"/>
              <w:bottom w:w="72" w:type="dxa"/>
              <w:right w:w="144" w:type="dxa"/>
            </w:tcMar>
            <w:vAlign w:val="center"/>
            <w:hideMark/>
          </w:tcPr>
          <w:p w14:paraId="2583A7D7"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Existing maturity models are not suitable for assessing companies with low maturity levels, as is the case for most SMEs.</w:t>
            </w:r>
          </w:p>
        </w:tc>
        <w:tc>
          <w:tcPr>
            <w:tcW w:w="467" w:type="pct"/>
            <w:shd w:val="clear" w:color="auto" w:fill="FFFFFF" w:themeFill="background1"/>
            <w:tcMar>
              <w:top w:w="72" w:type="dxa"/>
              <w:left w:w="144" w:type="dxa"/>
              <w:bottom w:w="72" w:type="dxa"/>
              <w:right w:w="144" w:type="dxa"/>
            </w:tcMar>
            <w:vAlign w:val="center"/>
            <w:hideMark/>
          </w:tcPr>
          <w:p w14:paraId="46CAA052" w14:textId="77777777" w:rsidR="004936D2" w:rsidRPr="004936D2" w:rsidRDefault="004936D2" w:rsidP="00E85466">
            <w:pPr>
              <w:spacing w:line="240" w:lineRule="auto"/>
              <w:jc w:val="center"/>
              <w:rPr>
                <w:rFonts w:ascii="Times New Roman" w:eastAsia="Times New Roman" w:hAnsi="Times New Roman" w:cs="Times New Roman"/>
                <w:sz w:val="20"/>
                <w:szCs w:val="20"/>
                <w:lang w:val="fi-FI" w:eastAsia="es-CO"/>
              </w:rPr>
            </w:pPr>
            <w:proofErr w:type="spellStart"/>
            <w:r w:rsidRPr="004936D2">
              <w:rPr>
                <w:rFonts w:ascii="Times New Roman" w:eastAsia="Times New Roman" w:hAnsi="Times New Roman" w:cs="Times New Roman"/>
                <w:sz w:val="20"/>
                <w:szCs w:val="20"/>
                <w:lang w:eastAsia="es-CO"/>
              </w:rPr>
              <w:t>SMEs</w:t>
            </w:r>
            <w:proofErr w:type="spellEnd"/>
          </w:p>
        </w:tc>
        <w:tc>
          <w:tcPr>
            <w:tcW w:w="493" w:type="pct"/>
            <w:shd w:val="clear" w:color="auto" w:fill="FFFFFF" w:themeFill="background1"/>
            <w:tcMar>
              <w:top w:w="72" w:type="dxa"/>
              <w:left w:w="144" w:type="dxa"/>
              <w:bottom w:w="72" w:type="dxa"/>
              <w:right w:w="144" w:type="dxa"/>
            </w:tcMar>
            <w:vAlign w:val="center"/>
            <w:hideMark/>
          </w:tcPr>
          <w:p w14:paraId="667552FD" w14:textId="77777777" w:rsidR="004936D2" w:rsidRPr="004936D2" w:rsidRDefault="004936D2" w:rsidP="00E85466">
            <w:pPr>
              <w:spacing w:line="240" w:lineRule="auto"/>
              <w:jc w:val="center"/>
              <w:rPr>
                <w:rFonts w:ascii="Times New Roman" w:eastAsia="Times New Roman" w:hAnsi="Times New Roman" w:cs="Times New Roman"/>
                <w:sz w:val="20"/>
                <w:szCs w:val="20"/>
                <w:lang w:val="fi-FI" w:eastAsia="es-CO"/>
              </w:rPr>
            </w:pPr>
            <w:proofErr w:type="spellStart"/>
            <w:r w:rsidRPr="004936D2">
              <w:rPr>
                <w:rFonts w:ascii="Times New Roman" w:eastAsia="Times New Roman" w:hAnsi="Times New Roman" w:cs="Times New Roman"/>
                <w:sz w:val="20"/>
                <w:szCs w:val="20"/>
                <w:lang w:eastAsia="es-CO"/>
              </w:rPr>
              <w:t>Quantitative</w:t>
            </w:r>
            <w:proofErr w:type="spellEnd"/>
          </w:p>
        </w:tc>
      </w:tr>
      <w:tr w:rsidR="004936D2" w:rsidRPr="004936D2" w14:paraId="42EA8B06" w14:textId="77777777" w:rsidTr="00E85466">
        <w:trPr>
          <w:trHeight w:val="2315"/>
        </w:trPr>
        <w:tc>
          <w:tcPr>
            <w:tcW w:w="144" w:type="pct"/>
            <w:shd w:val="clear" w:color="auto" w:fill="FFFFFF" w:themeFill="background1"/>
            <w:vAlign w:val="center"/>
          </w:tcPr>
          <w:p w14:paraId="43564EDF" w14:textId="77777777" w:rsidR="004936D2" w:rsidRPr="004936D2" w:rsidRDefault="004936D2" w:rsidP="00E85466">
            <w:pPr>
              <w:jc w:val="center"/>
              <w:rPr>
                <w:rFonts w:ascii="Times New Roman" w:eastAsia="Aptos" w:hAnsi="Times New Roman" w:cs="Times New Roman"/>
                <w:sz w:val="20"/>
                <w:szCs w:val="20"/>
              </w:rPr>
            </w:pPr>
            <w:r w:rsidRPr="004936D2">
              <w:rPr>
                <w:rFonts w:ascii="Times New Roman" w:eastAsia="Aptos" w:hAnsi="Times New Roman" w:cs="Times New Roman"/>
                <w:sz w:val="20"/>
                <w:szCs w:val="20"/>
              </w:rPr>
              <w:t>4</w:t>
            </w:r>
          </w:p>
        </w:tc>
        <w:tc>
          <w:tcPr>
            <w:tcW w:w="542" w:type="pct"/>
            <w:shd w:val="clear" w:color="auto" w:fill="FFFFFF" w:themeFill="background1"/>
            <w:tcMar>
              <w:top w:w="72" w:type="dxa"/>
              <w:left w:w="144" w:type="dxa"/>
              <w:bottom w:w="72" w:type="dxa"/>
              <w:right w:w="144" w:type="dxa"/>
            </w:tcMar>
            <w:vAlign w:val="center"/>
            <w:hideMark/>
          </w:tcPr>
          <w:p w14:paraId="611C8F4F" w14:textId="77777777" w:rsidR="004936D2" w:rsidRPr="004936D2" w:rsidRDefault="004936D2" w:rsidP="00E85466">
            <w:pPr>
              <w:jc w:val="center"/>
              <w:rPr>
                <w:rFonts w:ascii="Times New Roman" w:eastAsia="Aptos" w:hAnsi="Times New Roman" w:cs="Times New Roman"/>
                <w:sz w:val="20"/>
                <w:szCs w:val="20"/>
                <w:highlight w:val="yellow"/>
                <w:lang w:val="en-US"/>
              </w:rPr>
            </w:pPr>
            <w:r w:rsidRPr="004936D2">
              <w:rPr>
                <w:rFonts w:ascii="Times New Roman" w:eastAsia="Times New Roman" w:hAnsi="Times New Roman" w:cs="Times New Roman"/>
                <w:sz w:val="20"/>
                <w:szCs w:val="20"/>
                <w:lang w:val="en-US" w:eastAsia="es-CO"/>
              </w:rPr>
              <w:t>Depaoli, P; Za, S; Scornavacca, E.</w:t>
            </w:r>
          </w:p>
        </w:tc>
        <w:tc>
          <w:tcPr>
            <w:tcW w:w="820" w:type="pct"/>
            <w:gridSpan w:val="2"/>
            <w:shd w:val="clear" w:color="auto" w:fill="FFFFFF" w:themeFill="background1"/>
            <w:tcMar>
              <w:top w:w="72" w:type="dxa"/>
              <w:left w:w="144" w:type="dxa"/>
              <w:bottom w:w="72" w:type="dxa"/>
              <w:right w:w="144" w:type="dxa"/>
            </w:tcMar>
            <w:vAlign w:val="center"/>
            <w:hideMark/>
          </w:tcPr>
          <w:p w14:paraId="1FB2C2C9"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Input interaction area, output interaction area and central interaction area.</w:t>
            </w:r>
          </w:p>
        </w:tc>
        <w:tc>
          <w:tcPr>
            <w:tcW w:w="660" w:type="pct"/>
            <w:shd w:val="clear" w:color="auto" w:fill="FFFFFF" w:themeFill="background1"/>
            <w:tcMar>
              <w:top w:w="72" w:type="dxa"/>
              <w:left w:w="144" w:type="dxa"/>
              <w:bottom w:w="72" w:type="dxa"/>
              <w:right w:w="144" w:type="dxa"/>
            </w:tcMar>
            <w:vAlign w:val="center"/>
            <w:hideMark/>
          </w:tcPr>
          <w:p w14:paraId="27E760E1"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Low, medium, high and full.</w:t>
            </w:r>
          </w:p>
        </w:tc>
        <w:tc>
          <w:tcPr>
            <w:tcW w:w="985" w:type="pct"/>
            <w:shd w:val="clear" w:color="auto" w:fill="FFFFFF" w:themeFill="background1"/>
            <w:tcMar>
              <w:top w:w="72" w:type="dxa"/>
              <w:left w:w="144" w:type="dxa"/>
              <w:bottom w:w="72" w:type="dxa"/>
              <w:right w:w="144" w:type="dxa"/>
            </w:tcMar>
            <w:vAlign w:val="center"/>
            <w:hideMark/>
          </w:tcPr>
          <w:p w14:paraId="727C52A1"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Create a holistic and non-linear model of digital development for SMEs that considers organizational interaction in achieving their business objectives, moving away from previous technocentric and linear approaches.</w:t>
            </w:r>
          </w:p>
        </w:tc>
        <w:tc>
          <w:tcPr>
            <w:tcW w:w="890" w:type="pct"/>
            <w:shd w:val="clear" w:color="auto" w:fill="FFFFFF" w:themeFill="background1"/>
            <w:tcMar>
              <w:top w:w="72" w:type="dxa"/>
              <w:left w:w="144" w:type="dxa"/>
              <w:bottom w:w="72" w:type="dxa"/>
              <w:right w:w="144" w:type="dxa"/>
            </w:tcMar>
            <w:vAlign w:val="center"/>
            <w:hideMark/>
          </w:tcPr>
          <w:p w14:paraId="267AE1DA"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The need for this model arises from criticism of existing models that are not adequately applicable or beneficial to SMEs due to their excessively technocentric approach and their lack of adaptation to the diverse and flexible nature of these companies.</w:t>
            </w:r>
          </w:p>
        </w:tc>
        <w:tc>
          <w:tcPr>
            <w:tcW w:w="467" w:type="pct"/>
            <w:shd w:val="clear" w:color="auto" w:fill="FFFFFF" w:themeFill="background1"/>
            <w:tcMar>
              <w:top w:w="72" w:type="dxa"/>
              <w:left w:w="144" w:type="dxa"/>
              <w:bottom w:w="72" w:type="dxa"/>
              <w:right w:w="144" w:type="dxa"/>
            </w:tcMar>
            <w:vAlign w:val="center"/>
            <w:hideMark/>
          </w:tcPr>
          <w:p w14:paraId="5337294F"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SMEs</w:t>
            </w:r>
            <w:proofErr w:type="spellEnd"/>
          </w:p>
        </w:tc>
        <w:tc>
          <w:tcPr>
            <w:tcW w:w="493" w:type="pct"/>
            <w:shd w:val="clear" w:color="auto" w:fill="FFFFFF" w:themeFill="background1"/>
            <w:tcMar>
              <w:top w:w="72" w:type="dxa"/>
              <w:left w:w="144" w:type="dxa"/>
              <w:bottom w:w="72" w:type="dxa"/>
              <w:right w:w="144" w:type="dxa"/>
            </w:tcMar>
            <w:vAlign w:val="center"/>
            <w:hideMark/>
          </w:tcPr>
          <w:p w14:paraId="06388F9F"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Qualitative</w:t>
            </w:r>
            <w:proofErr w:type="spellEnd"/>
          </w:p>
        </w:tc>
      </w:tr>
      <w:tr w:rsidR="004936D2" w:rsidRPr="004936D2" w14:paraId="652890D7" w14:textId="77777777" w:rsidTr="00E85466">
        <w:trPr>
          <w:trHeight w:val="2211"/>
        </w:trPr>
        <w:tc>
          <w:tcPr>
            <w:tcW w:w="144" w:type="pct"/>
            <w:shd w:val="clear" w:color="auto" w:fill="FFFFFF" w:themeFill="background1"/>
            <w:vAlign w:val="center"/>
          </w:tcPr>
          <w:p w14:paraId="3AE42ADD"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lastRenderedPageBreak/>
              <w:t>5</w:t>
            </w:r>
          </w:p>
        </w:tc>
        <w:tc>
          <w:tcPr>
            <w:tcW w:w="542" w:type="pct"/>
            <w:shd w:val="clear" w:color="auto" w:fill="FFFFFF" w:themeFill="background1"/>
            <w:tcMar>
              <w:top w:w="72" w:type="dxa"/>
              <w:left w:w="144" w:type="dxa"/>
              <w:bottom w:w="72" w:type="dxa"/>
              <w:right w:w="144" w:type="dxa"/>
            </w:tcMar>
            <w:vAlign w:val="center"/>
            <w:hideMark/>
          </w:tcPr>
          <w:p w14:paraId="5E4D3746"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 xml:space="preserve">Tortora, A; </w:t>
            </w:r>
            <w:proofErr w:type="spellStart"/>
            <w:r w:rsidRPr="004936D2">
              <w:rPr>
                <w:rFonts w:ascii="Times New Roman" w:eastAsia="Times New Roman" w:hAnsi="Times New Roman" w:cs="Times New Roman"/>
                <w:sz w:val="20"/>
                <w:szCs w:val="20"/>
                <w:lang w:eastAsia="es-CO"/>
              </w:rPr>
              <w:t>DiPasquale</w:t>
            </w:r>
            <w:proofErr w:type="spellEnd"/>
            <w:r w:rsidRPr="004936D2">
              <w:rPr>
                <w:rFonts w:ascii="Times New Roman" w:eastAsia="Times New Roman" w:hAnsi="Times New Roman" w:cs="Times New Roman"/>
                <w:sz w:val="20"/>
                <w:szCs w:val="20"/>
                <w:lang w:eastAsia="es-CO"/>
              </w:rPr>
              <w:t xml:space="preserve">, V; </w:t>
            </w:r>
            <w:proofErr w:type="spellStart"/>
            <w:r w:rsidRPr="004936D2">
              <w:rPr>
                <w:rFonts w:ascii="Times New Roman" w:eastAsia="Times New Roman" w:hAnsi="Times New Roman" w:cs="Times New Roman"/>
                <w:sz w:val="20"/>
                <w:szCs w:val="20"/>
                <w:lang w:eastAsia="es-CO"/>
              </w:rPr>
              <w:t>Iannone</w:t>
            </w:r>
            <w:proofErr w:type="spellEnd"/>
            <w:r w:rsidRPr="004936D2">
              <w:rPr>
                <w:rFonts w:ascii="Times New Roman" w:eastAsia="Times New Roman" w:hAnsi="Times New Roman" w:cs="Times New Roman"/>
                <w:sz w:val="20"/>
                <w:szCs w:val="20"/>
                <w:lang w:eastAsia="es-CO"/>
              </w:rPr>
              <w:t>, R.</w:t>
            </w:r>
          </w:p>
        </w:tc>
        <w:tc>
          <w:tcPr>
            <w:tcW w:w="820" w:type="pct"/>
            <w:gridSpan w:val="2"/>
            <w:shd w:val="clear" w:color="auto" w:fill="FFFFFF" w:themeFill="background1"/>
            <w:tcMar>
              <w:top w:w="72" w:type="dxa"/>
              <w:left w:w="144" w:type="dxa"/>
              <w:bottom w:w="72" w:type="dxa"/>
              <w:right w:w="144" w:type="dxa"/>
            </w:tcMar>
            <w:vAlign w:val="center"/>
            <w:hideMark/>
          </w:tcPr>
          <w:p w14:paraId="534E7436"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w:t>
            </w:r>
          </w:p>
        </w:tc>
        <w:tc>
          <w:tcPr>
            <w:tcW w:w="660" w:type="pct"/>
            <w:shd w:val="clear" w:color="auto" w:fill="FFFFFF" w:themeFill="background1"/>
            <w:tcMar>
              <w:top w:w="72" w:type="dxa"/>
              <w:left w:w="144" w:type="dxa"/>
              <w:bottom w:w="72" w:type="dxa"/>
              <w:right w:w="144" w:type="dxa"/>
            </w:tcMar>
            <w:vAlign w:val="center"/>
            <w:hideMark/>
          </w:tcPr>
          <w:p w14:paraId="03CD1828"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Improvisation, orientation, definition, sustain and best in class.</w:t>
            </w:r>
          </w:p>
        </w:tc>
        <w:tc>
          <w:tcPr>
            <w:tcW w:w="985" w:type="pct"/>
            <w:shd w:val="clear" w:color="auto" w:fill="FFFFFF" w:themeFill="background1"/>
            <w:tcMar>
              <w:top w:w="72" w:type="dxa"/>
              <w:left w:w="144" w:type="dxa"/>
              <w:bottom w:w="72" w:type="dxa"/>
              <w:right w:w="144" w:type="dxa"/>
            </w:tcMar>
            <w:vAlign w:val="center"/>
            <w:hideMark/>
          </w:tcPr>
          <w:p w14:paraId="6E247684"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Develop a maturity model to assess and improve maintenance information management practices in SMEs, providing a tool that highlights strengths and weaknesses and suggests improvement actions.</w:t>
            </w:r>
          </w:p>
        </w:tc>
        <w:tc>
          <w:tcPr>
            <w:tcW w:w="890" w:type="pct"/>
            <w:shd w:val="clear" w:color="auto" w:fill="FFFFFF" w:themeFill="background1"/>
            <w:tcMar>
              <w:top w:w="72" w:type="dxa"/>
              <w:left w:w="144" w:type="dxa"/>
              <w:bottom w:w="72" w:type="dxa"/>
              <w:right w:w="144" w:type="dxa"/>
            </w:tcMar>
            <w:vAlign w:val="center"/>
            <w:hideMark/>
          </w:tcPr>
          <w:p w14:paraId="07E3AACE" w14:textId="77777777" w:rsidR="004936D2" w:rsidRPr="004936D2" w:rsidRDefault="004936D2" w:rsidP="00E85466">
            <w:pPr>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Address the lack of models designed to evaluate maintenance information management practices in SMEs, which often lack the resources and experience to implement effective information systems.</w:t>
            </w:r>
          </w:p>
        </w:tc>
        <w:tc>
          <w:tcPr>
            <w:tcW w:w="467" w:type="pct"/>
            <w:shd w:val="clear" w:color="auto" w:fill="FFFFFF" w:themeFill="background1"/>
            <w:tcMar>
              <w:top w:w="72" w:type="dxa"/>
              <w:left w:w="144" w:type="dxa"/>
              <w:bottom w:w="72" w:type="dxa"/>
              <w:right w:w="144" w:type="dxa"/>
            </w:tcMar>
            <w:vAlign w:val="center"/>
            <w:hideMark/>
          </w:tcPr>
          <w:p w14:paraId="441C5643"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SMEs</w:t>
            </w:r>
            <w:proofErr w:type="spellEnd"/>
          </w:p>
        </w:tc>
        <w:tc>
          <w:tcPr>
            <w:tcW w:w="493" w:type="pct"/>
            <w:shd w:val="clear" w:color="auto" w:fill="FFFFFF" w:themeFill="background1"/>
            <w:tcMar>
              <w:top w:w="72" w:type="dxa"/>
              <w:left w:w="144" w:type="dxa"/>
              <w:bottom w:w="72" w:type="dxa"/>
              <w:right w:w="144" w:type="dxa"/>
            </w:tcMar>
            <w:vAlign w:val="center"/>
            <w:hideMark/>
          </w:tcPr>
          <w:p w14:paraId="0E260F60"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Qualitative</w:t>
            </w:r>
            <w:proofErr w:type="spellEnd"/>
            <w:r w:rsidRPr="004936D2">
              <w:rPr>
                <w:rFonts w:ascii="Times New Roman" w:eastAsia="Times New Roman" w:hAnsi="Times New Roman" w:cs="Times New Roman"/>
                <w:sz w:val="20"/>
                <w:szCs w:val="20"/>
                <w:lang w:eastAsia="es-CO"/>
              </w:rPr>
              <w:t xml:space="preserve"> and </w:t>
            </w:r>
            <w:proofErr w:type="spellStart"/>
            <w:r w:rsidRPr="004936D2">
              <w:rPr>
                <w:rFonts w:ascii="Times New Roman" w:eastAsia="Times New Roman" w:hAnsi="Times New Roman" w:cs="Times New Roman"/>
                <w:sz w:val="20"/>
                <w:szCs w:val="20"/>
                <w:lang w:eastAsia="es-CO"/>
              </w:rPr>
              <w:t>quantitative</w:t>
            </w:r>
            <w:proofErr w:type="spellEnd"/>
          </w:p>
        </w:tc>
      </w:tr>
      <w:tr w:rsidR="004936D2" w:rsidRPr="004936D2" w14:paraId="1AB0B52A" w14:textId="77777777" w:rsidTr="00E85466">
        <w:trPr>
          <w:trHeight w:val="584"/>
        </w:trPr>
        <w:tc>
          <w:tcPr>
            <w:tcW w:w="144" w:type="pct"/>
            <w:shd w:val="clear" w:color="auto" w:fill="FFFFFF" w:themeFill="background1"/>
            <w:vAlign w:val="center"/>
          </w:tcPr>
          <w:p w14:paraId="6049866F"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6</w:t>
            </w:r>
          </w:p>
        </w:tc>
        <w:tc>
          <w:tcPr>
            <w:tcW w:w="542" w:type="pct"/>
            <w:shd w:val="clear" w:color="auto" w:fill="FFFFFF" w:themeFill="background1"/>
            <w:tcMar>
              <w:top w:w="72" w:type="dxa"/>
              <w:left w:w="144" w:type="dxa"/>
              <w:bottom w:w="72" w:type="dxa"/>
              <w:right w:w="144" w:type="dxa"/>
            </w:tcMar>
            <w:vAlign w:val="center"/>
            <w:hideMark/>
          </w:tcPr>
          <w:p w14:paraId="7FB7339A"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Adrodegari</w:t>
            </w:r>
            <w:proofErr w:type="spellEnd"/>
            <w:r w:rsidRPr="004936D2">
              <w:rPr>
                <w:rFonts w:ascii="Times New Roman" w:eastAsia="Times New Roman" w:hAnsi="Times New Roman" w:cs="Times New Roman"/>
                <w:sz w:val="20"/>
                <w:szCs w:val="20"/>
                <w:lang w:eastAsia="es-CO"/>
              </w:rPr>
              <w:t xml:space="preserve">, F; </w:t>
            </w:r>
            <w:proofErr w:type="spellStart"/>
            <w:r w:rsidRPr="004936D2">
              <w:rPr>
                <w:rFonts w:ascii="Times New Roman" w:eastAsia="Times New Roman" w:hAnsi="Times New Roman" w:cs="Times New Roman"/>
                <w:sz w:val="20"/>
                <w:szCs w:val="20"/>
                <w:lang w:eastAsia="es-CO"/>
              </w:rPr>
              <w:t>Saccani</w:t>
            </w:r>
            <w:proofErr w:type="spellEnd"/>
            <w:r w:rsidRPr="004936D2">
              <w:rPr>
                <w:rFonts w:ascii="Times New Roman" w:eastAsia="Times New Roman" w:hAnsi="Times New Roman" w:cs="Times New Roman"/>
                <w:sz w:val="20"/>
                <w:szCs w:val="20"/>
                <w:lang w:eastAsia="es-CO"/>
              </w:rPr>
              <w:t>, N</w:t>
            </w:r>
          </w:p>
        </w:tc>
        <w:tc>
          <w:tcPr>
            <w:tcW w:w="820" w:type="pct"/>
            <w:gridSpan w:val="2"/>
            <w:shd w:val="clear" w:color="auto" w:fill="FFFFFF" w:themeFill="background1"/>
            <w:tcMar>
              <w:top w:w="72" w:type="dxa"/>
              <w:left w:w="144" w:type="dxa"/>
              <w:bottom w:w="72" w:type="dxa"/>
              <w:right w:w="144" w:type="dxa"/>
            </w:tcMar>
            <w:vAlign w:val="center"/>
            <w:hideMark/>
          </w:tcPr>
          <w:p w14:paraId="32438EA3"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Organizational approach, process management, performance management, tools, capabilities.</w:t>
            </w:r>
          </w:p>
        </w:tc>
        <w:tc>
          <w:tcPr>
            <w:tcW w:w="660" w:type="pct"/>
            <w:shd w:val="clear" w:color="auto" w:fill="FFFFFF" w:themeFill="background1"/>
            <w:tcMar>
              <w:top w:w="72" w:type="dxa"/>
              <w:left w:w="144" w:type="dxa"/>
              <w:bottom w:w="72" w:type="dxa"/>
              <w:right w:w="144" w:type="dxa"/>
            </w:tcMar>
            <w:vAlign w:val="center"/>
            <w:hideMark/>
          </w:tcPr>
          <w:p w14:paraId="64C3C812"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 xml:space="preserve">5 </w:t>
            </w:r>
            <w:proofErr w:type="spellStart"/>
            <w:r w:rsidRPr="004936D2">
              <w:rPr>
                <w:rFonts w:ascii="Times New Roman" w:eastAsia="Times New Roman" w:hAnsi="Times New Roman" w:cs="Times New Roman"/>
                <w:sz w:val="20"/>
                <w:szCs w:val="20"/>
                <w:lang w:eastAsia="es-CO"/>
              </w:rPr>
              <w:t>levels</w:t>
            </w:r>
            <w:proofErr w:type="spellEnd"/>
          </w:p>
        </w:tc>
        <w:tc>
          <w:tcPr>
            <w:tcW w:w="985" w:type="pct"/>
            <w:shd w:val="clear" w:color="auto" w:fill="FFFFFF" w:themeFill="background1"/>
            <w:tcMar>
              <w:top w:w="72" w:type="dxa"/>
              <w:left w:w="144" w:type="dxa"/>
              <w:bottom w:w="72" w:type="dxa"/>
              <w:right w:w="144" w:type="dxa"/>
            </w:tcMar>
            <w:vAlign w:val="center"/>
            <w:hideMark/>
          </w:tcPr>
          <w:p w14:paraId="45DF57F8"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Contribute to the understanding of the servitization phenomenon in product-focused companies, identifying the resources, capabilities and organizational aspects necessary to successfully implement a servitized business model.</w:t>
            </w:r>
          </w:p>
        </w:tc>
        <w:tc>
          <w:tcPr>
            <w:tcW w:w="890" w:type="pct"/>
            <w:shd w:val="clear" w:color="auto" w:fill="FFFFFF" w:themeFill="background1"/>
            <w:tcMar>
              <w:top w:w="72" w:type="dxa"/>
              <w:left w:w="144" w:type="dxa"/>
              <w:bottom w:w="72" w:type="dxa"/>
              <w:right w:w="144" w:type="dxa"/>
            </w:tcMar>
            <w:vAlign w:val="center"/>
            <w:hideMark/>
          </w:tcPr>
          <w:p w14:paraId="243EA17B"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The need for this model arises from the recognition that servitization can be especially challenging for SMEs due to its limited attention in the literature and the need for practical tools to guide this process.</w:t>
            </w:r>
          </w:p>
        </w:tc>
        <w:tc>
          <w:tcPr>
            <w:tcW w:w="467" w:type="pct"/>
            <w:shd w:val="clear" w:color="auto" w:fill="FFFFFF" w:themeFill="background1"/>
            <w:tcMar>
              <w:top w:w="72" w:type="dxa"/>
              <w:left w:w="144" w:type="dxa"/>
              <w:bottom w:w="72" w:type="dxa"/>
              <w:right w:w="144" w:type="dxa"/>
            </w:tcMar>
            <w:vAlign w:val="center"/>
            <w:hideMark/>
          </w:tcPr>
          <w:p w14:paraId="11C5C41A"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SMEs</w:t>
            </w:r>
            <w:proofErr w:type="spellEnd"/>
          </w:p>
        </w:tc>
        <w:tc>
          <w:tcPr>
            <w:tcW w:w="493" w:type="pct"/>
            <w:shd w:val="clear" w:color="auto" w:fill="FFFFFF" w:themeFill="background1"/>
            <w:tcMar>
              <w:top w:w="72" w:type="dxa"/>
              <w:left w:w="144" w:type="dxa"/>
              <w:bottom w:w="72" w:type="dxa"/>
              <w:right w:w="144" w:type="dxa"/>
            </w:tcMar>
            <w:vAlign w:val="center"/>
            <w:hideMark/>
          </w:tcPr>
          <w:p w14:paraId="6B00D9CE"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Qualitative</w:t>
            </w:r>
            <w:proofErr w:type="spellEnd"/>
          </w:p>
        </w:tc>
      </w:tr>
      <w:tr w:rsidR="004936D2" w:rsidRPr="004936D2" w14:paraId="69D4F449" w14:textId="77777777" w:rsidTr="00E85466">
        <w:trPr>
          <w:trHeight w:val="584"/>
        </w:trPr>
        <w:tc>
          <w:tcPr>
            <w:tcW w:w="144" w:type="pct"/>
            <w:shd w:val="clear" w:color="auto" w:fill="FFFFFF" w:themeFill="background1"/>
            <w:vAlign w:val="center"/>
          </w:tcPr>
          <w:p w14:paraId="0822D385"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7</w:t>
            </w:r>
          </w:p>
        </w:tc>
        <w:tc>
          <w:tcPr>
            <w:tcW w:w="542" w:type="pct"/>
            <w:shd w:val="clear" w:color="auto" w:fill="FFFFFF" w:themeFill="background1"/>
            <w:tcMar>
              <w:top w:w="72" w:type="dxa"/>
              <w:left w:w="144" w:type="dxa"/>
              <w:bottom w:w="72" w:type="dxa"/>
              <w:right w:w="144" w:type="dxa"/>
            </w:tcMar>
            <w:vAlign w:val="center"/>
          </w:tcPr>
          <w:p w14:paraId="3B193ED4"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Avila, J; Gil, R</w:t>
            </w:r>
          </w:p>
        </w:tc>
        <w:tc>
          <w:tcPr>
            <w:tcW w:w="820" w:type="pct"/>
            <w:gridSpan w:val="2"/>
            <w:shd w:val="clear" w:color="auto" w:fill="FFFFFF" w:themeFill="background1"/>
            <w:tcMar>
              <w:top w:w="72" w:type="dxa"/>
              <w:left w:w="144" w:type="dxa"/>
              <w:bottom w:w="72" w:type="dxa"/>
              <w:right w:w="144" w:type="dxa"/>
            </w:tcMar>
            <w:vAlign w:val="center"/>
          </w:tcPr>
          <w:p w14:paraId="528C169E"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Service, operations, quality, products, documented information - Big Data, leadership and strategy, communication, culture and people.</w:t>
            </w:r>
          </w:p>
        </w:tc>
        <w:tc>
          <w:tcPr>
            <w:tcW w:w="660" w:type="pct"/>
            <w:shd w:val="clear" w:color="auto" w:fill="FFFFFF" w:themeFill="background1"/>
            <w:tcMar>
              <w:top w:w="72" w:type="dxa"/>
              <w:left w:w="144" w:type="dxa"/>
              <w:bottom w:w="72" w:type="dxa"/>
              <w:right w:w="144" w:type="dxa"/>
            </w:tcMar>
            <w:vAlign w:val="center"/>
          </w:tcPr>
          <w:p w14:paraId="634C8FCD"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 xml:space="preserve">5 </w:t>
            </w:r>
            <w:proofErr w:type="spellStart"/>
            <w:r w:rsidRPr="004936D2">
              <w:rPr>
                <w:rFonts w:ascii="Times New Roman" w:eastAsia="Times New Roman" w:hAnsi="Times New Roman" w:cs="Times New Roman"/>
                <w:sz w:val="20"/>
                <w:szCs w:val="20"/>
                <w:lang w:eastAsia="es-CO"/>
              </w:rPr>
              <w:t>levels</w:t>
            </w:r>
            <w:proofErr w:type="spellEnd"/>
          </w:p>
        </w:tc>
        <w:tc>
          <w:tcPr>
            <w:tcW w:w="985" w:type="pct"/>
            <w:shd w:val="clear" w:color="auto" w:fill="FFFFFF" w:themeFill="background1"/>
            <w:tcMar>
              <w:top w:w="72" w:type="dxa"/>
              <w:left w:w="144" w:type="dxa"/>
              <w:bottom w:w="72" w:type="dxa"/>
              <w:right w:w="144" w:type="dxa"/>
            </w:tcMar>
            <w:vAlign w:val="center"/>
          </w:tcPr>
          <w:p w14:paraId="0B35949A"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 xml:space="preserve">Establish and validate a maturity model specifically tailored for SMEs, which addresses the </w:t>
            </w:r>
            <w:proofErr w:type="gramStart"/>
            <w:r w:rsidRPr="004936D2">
              <w:rPr>
                <w:rFonts w:ascii="Times New Roman" w:eastAsia="Times New Roman" w:hAnsi="Times New Roman" w:cs="Times New Roman"/>
                <w:sz w:val="20"/>
                <w:szCs w:val="20"/>
                <w:lang w:val="en-US" w:eastAsia="es-CO"/>
              </w:rPr>
              <w:t>particular challenges</w:t>
            </w:r>
            <w:proofErr w:type="gramEnd"/>
            <w:r w:rsidRPr="004936D2">
              <w:rPr>
                <w:rFonts w:ascii="Times New Roman" w:eastAsia="Times New Roman" w:hAnsi="Times New Roman" w:cs="Times New Roman"/>
                <w:sz w:val="20"/>
                <w:szCs w:val="20"/>
                <w:lang w:val="en-US" w:eastAsia="es-CO"/>
              </w:rPr>
              <w:t xml:space="preserve"> of these companies in the integration of Industry 4.0 technologies.</w:t>
            </w:r>
          </w:p>
        </w:tc>
        <w:tc>
          <w:tcPr>
            <w:tcW w:w="890" w:type="pct"/>
            <w:shd w:val="clear" w:color="auto" w:fill="FFFFFF" w:themeFill="background1"/>
            <w:tcMar>
              <w:top w:w="72" w:type="dxa"/>
              <w:left w:w="144" w:type="dxa"/>
              <w:bottom w:w="72" w:type="dxa"/>
              <w:right w:w="144" w:type="dxa"/>
            </w:tcMar>
            <w:vAlign w:val="center"/>
          </w:tcPr>
          <w:p w14:paraId="2192855B"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The need for SMEs, especially in Latin America, to have an appropriate and accessible tool to evaluate and guide their integration into Industry 4.0, given that many of the existing models are designed primarily for large companies.</w:t>
            </w:r>
          </w:p>
        </w:tc>
        <w:tc>
          <w:tcPr>
            <w:tcW w:w="467" w:type="pct"/>
            <w:shd w:val="clear" w:color="auto" w:fill="FFFFFF" w:themeFill="background1"/>
            <w:tcMar>
              <w:top w:w="72" w:type="dxa"/>
              <w:left w:w="144" w:type="dxa"/>
              <w:bottom w:w="72" w:type="dxa"/>
              <w:right w:w="144" w:type="dxa"/>
            </w:tcMar>
            <w:vAlign w:val="center"/>
          </w:tcPr>
          <w:p w14:paraId="0D12AA63"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SMEs</w:t>
            </w:r>
            <w:proofErr w:type="spellEnd"/>
          </w:p>
        </w:tc>
        <w:tc>
          <w:tcPr>
            <w:tcW w:w="493" w:type="pct"/>
            <w:shd w:val="clear" w:color="auto" w:fill="FFFFFF" w:themeFill="background1"/>
            <w:tcMar>
              <w:top w:w="72" w:type="dxa"/>
              <w:left w:w="144" w:type="dxa"/>
              <w:bottom w:w="72" w:type="dxa"/>
              <w:right w:w="144" w:type="dxa"/>
            </w:tcMar>
            <w:vAlign w:val="center"/>
          </w:tcPr>
          <w:p w14:paraId="201F3F87"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Qualitative</w:t>
            </w:r>
            <w:proofErr w:type="spellEnd"/>
            <w:r w:rsidRPr="004936D2">
              <w:rPr>
                <w:rFonts w:ascii="Times New Roman" w:eastAsia="Times New Roman" w:hAnsi="Times New Roman" w:cs="Times New Roman"/>
                <w:sz w:val="20"/>
                <w:szCs w:val="20"/>
                <w:lang w:eastAsia="es-CO"/>
              </w:rPr>
              <w:t xml:space="preserve"> and </w:t>
            </w:r>
            <w:proofErr w:type="spellStart"/>
            <w:r w:rsidRPr="004936D2">
              <w:rPr>
                <w:rFonts w:ascii="Times New Roman" w:eastAsia="Times New Roman" w:hAnsi="Times New Roman" w:cs="Times New Roman"/>
                <w:sz w:val="20"/>
                <w:szCs w:val="20"/>
                <w:lang w:eastAsia="es-CO"/>
              </w:rPr>
              <w:t>quantitative</w:t>
            </w:r>
            <w:proofErr w:type="spellEnd"/>
          </w:p>
        </w:tc>
      </w:tr>
      <w:tr w:rsidR="004936D2" w:rsidRPr="004936D2" w14:paraId="77493734" w14:textId="77777777" w:rsidTr="00E85466">
        <w:trPr>
          <w:trHeight w:val="584"/>
        </w:trPr>
        <w:tc>
          <w:tcPr>
            <w:tcW w:w="144" w:type="pct"/>
            <w:shd w:val="clear" w:color="auto" w:fill="FFFFFF" w:themeFill="background1"/>
            <w:vAlign w:val="center"/>
          </w:tcPr>
          <w:p w14:paraId="29AC70FC"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lastRenderedPageBreak/>
              <w:t>8</w:t>
            </w:r>
          </w:p>
        </w:tc>
        <w:tc>
          <w:tcPr>
            <w:tcW w:w="542" w:type="pct"/>
            <w:shd w:val="clear" w:color="auto" w:fill="FFFFFF" w:themeFill="background1"/>
            <w:tcMar>
              <w:top w:w="72" w:type="dxa"/>
              <w:left w:w="144" w:type="dxa"/>
              <w:bottom w:w="72" w:type="dxa"/>
              <w:right w:w="144" w:type="dxa"/>
            </w:tcMar>
            <w:vAlign w:val="center"/>
          </w:tcPr>
          <w:p w14:paraId="57772C91"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Ka, X; Ying, T; Tang, J</w:t>
            </w:r>
          </w:p>
        </w:tc>
        <w:tc>
          <w:tcPr>
            <w:tcW w:w="820" w:type="pct"/>
            <w:gridSpan w:val="2"/>
            <w:shd w:val="clear" w:color="auto" w:fill="FFFFFF" w:themeFill="background1"/>
            <w:tcMar>
              <w:top w:w="72" w:type="dxa"/>
              <w:left w:w="144" w:type="dxa"/>
              <w:bottom w:w="72" w:type="dxa"/>
              <w:right w:w="144" w:type="dxa"/>
            </w:tcMar>
            <w:vAlign w:val="center"/>
          </w:tcPr>
          <w:p w14:paraId="11F59949"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Strategy and organization, digital technology, digital capabilities, integrated businesses.</w:t>
            </w:r>
          </w:p>
        </w:tc>
        <w:tc>
          <w:tcPr>
            <w:tcW w:w="660" w:type="pct"/>
            <w:shd w:val="clear" w:color="auto" w:fill="FFFFFF" w:themeFill="background1"/>
            <w:tcMar>
              <w:top w:w="72" w:type="dxa"/>
              <w:left w:w="144" w:type="dxa"/>
              <w:bottom w:w="72" w:type="dxa"/>
              <w:right w:w="144" w:type="dxa"/>
            </w:tcMar>
            <w:vAlign w:val="center"/>
          </w:tcPr>
          <w:p w14:paraId="16063A7F"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IT-enabled transformation, e-commerce-driven TD, TD-driven content, and TD-driven brand.</w:t>
            </w:r>
          </w:p>
        </w:tc>
        <w:tc>
          <w:tcPr>
            <w:tcW w:w="985" w:type="pct"/>
            <w:shd w:val="clear" w:color="auto" w:fill="FFFFFF" w:themeFill="background1"/>
            <w:tcMar>
              <w:top w:w="72" w:type="dxa"/>
              <w:left w:w="144" w:type="dxa"/>
              <w:bottom w:w="72" w:type="dxa"/>
              <w:right w:w="144" w:type="dxa"/>
            </w:tcMar>
            <w:vAlign w:val="center"/>
          </w:tcPr>
          <w:p w14:paraId="07FEDDBA"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To develop a maturity model framework that is specifically suited to micro and small hospitality businesses, thereby facilitating their successful integration into the modern industrial revolution.</w:t>
            </w:r>
          </w:p>
        </w:tc>
        <w:tc>
          <w:tcPr>
            <w:tcW w:w="890" w:type="pct"/>
            <w:shd w:val="clear" w:color="auto" w:fill="FFFFFF" w:themeFill="background1"/>
            <w:tcMar>
              <w:top w:w="72" w:type="dxa"/>
              <w:left w:w="144" w:type="dxa"/>
              <w:bottom w:w="72" w:type="dxa"/>
              <w:right w:w="144" w:type="dxa"/>
            </w:tcMar>
            <w:vAlign w:val="center"/>
          </w:tcPr>
          <w:p w14:paraId="578CD5E7"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Need for a maturity model adapted to the unique characteristics of micro and small businesses in the hotel industry, which have not been investigated as much as large companies or those in other sectors.</w:t>
            </w:r>
          </w:p>
        </w:tc>
        <w:tc>
          <w:tcPr>
            <w:tcW w:w="467" w:type="pct"/>
            <w:shd w:val="clear" w:color="auto" w:fill="FFFFFF" w:themeFill="background1"/>
            <w:tcMar>
              <w:top w:w="72" w:type="dxa"/>
              <w:left w:w="144" w:type="dxa"/>
              <w:bottom w:w="72" w:type="dxa"/>
              <w:right w:w="144" w:type="dxa"/>
            </w:tcMar>
            <w:vAlign w:val="center"/>
          </w:tcPr>
          <w:p w14:paraId="50F6D4A3"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Micro and small businesses in the hotel sector</w:t>
            </w:r>
          </w:p>
        </w:tc>
        <w:tc>
          <w:tcPr>
            <w:tcW w:w="493" w:type="pct"/>
            <w:shd w:val="clear" w:color="auto" w:fill="FFFFFF" w:themeFill="background1"/>
            <w:tcMar>
              <w:top w:w="72" w:type="dxa"/>
              <w:left w:w="144" w:type="dxa"/>
              <w:bottom w:w="72" w:type="dxa"/>
              <w:right w:w="144" w:type="dxa"/>
            </w:tcMar>
            <w:vAlign w:val="center"/>
          </w:tcPr>
          <w:p w14:paraId="28484343"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Qualitative</w:t>
            </w:r>
            <w:proofErr w:type="spellEnd"/>
          </w:p>
        </w:tc>
      </w:tr>
      <w:tr w:rsidR="004936D2" w:rsidRPr="004936D2" w14:paraId="73C3AE13" w14:textId="77777777" w:rsidTr="00E85466">
        <w:trPr>
          <w:trHeight w:val="584"/>
        </w:trPr>
        <w:tc>
          <w:tcPr>
            <w:tcW w:w="144" w:type="pct"/>
            <w:shd w:val="clear" w:color="auto" w:fill="FFFFFF" w:themeFill="background1"/>
            <w:vAlign w:val="center"/>
          </w:tcPr>
          <w:p w14:paraId="4ED7CC3D"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9</w:t>
            </w:r>
          </w:p>
        </w:tc>
        <w:tc>
          <w:tcPr>
            <w:tcW w:w="542" w:type="pct"/>
            <w:shd w:val="clear" w:color="auto" w:fill="FFFFFF" w:themeFill="background1"/>
            <w:tcMar>
              <w:top w:w="72" w:type="dxa"/>
              <w:left w:w="144" w:type="dxa"/>
              <w:bottom w:w="72" w:type="dxa"/>
              <w:right w:w="144" w:type="dxa"/>
            </w:tcMar>
            <w:vAlign w:val="center"/>
          </w:tcPr>
          <w:p w14:paraId="47C30DDC"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Vasquez</w:t>
            </w:r>
            <w:proofErr w:type="spellEnd"/>
            <w:r w:rsidRPr="004936D2">
              <w:rPr>
                <w:rFonts w:ascii="Times New Roman" w:eastAsia="Times New Roman" w:hAnsi="Times New Roman" w:cs="Times New Roman"/>
                <w:sz w:val="20"/>
                <w:szCs w:val="20"/>
                <w:lang w:eastAsia="es-CO"/>
              </w:rPr>
              <w:t xml:space="preserve">, J; Aguirre, S; </w:t>
            </w:r>
            <w:proofErr w:type="spellStart"/>
            <w:r w:rsidRPr="004936D2">
              <w:rPr>
                <w:rFonts w:ascii="Times New Roman" w:eastAsia="Times New Roman" w:hAnsi="Times New Roman" w:cs="Times New Roman"/>
                <w:sz w:val="20"/>
                <w:szCs w:val="20"/>
                <w:lang w:eastAsia="es-CO"/>
              </w:rPr>
              <w:t>Doors</w:t>
            </w:r>
            <w:proofErr w:type="spellEnd"/>
            <w:r w:rsidRPr="004936D2">
              <w:rPr>
                <w:rFonts w:ascii="Times New Roman" w:eastAsia="Times New Roman" w:hAnsi="Times New Roman" w:cs="Times New Roman"/>
                <w:sz w:val="20"/>
                <w:szCs w:val="20"/>
                <w:lang w:eastAsia="es-CO"/>
              </w:rPr>
              <w:t xml:space="preserve">, E; Bruno, G; </w:t>
            </w:r>
            <w:proofErr w:type="spellStart"/>
            <w:r w:rsidRPr="004936D2">
              <w:rPr>
                <w:rFonts w:ascii="Times New Roman" w:eastAsia="Times New Roman" w:hAnsi="Times New Roman" w:cs="Times New Roman"/>
                <w:sz w:val="20"/>
                <w:szCs w:val="20"/>
                <w:lang w:eastAsia="es-CO"/>
              </w:rPr>
              <w:t>Priarone</w:t>
            </w:r>
            <w:proofErr w:type="spellEnd"/>
            <w:r w:rsidRPr="004936D2">
              <w:rPr>
                <w:rFonts w:ascii="Times New Roman" w:eastAsia="Times New Roman" w:hAnsi="Times New Roman" w:cs="Times New Roman"/>
                <w:sz w:val="20"/>
                <w:szCs w:val="20"/>
                <w:lang w:eastAsia="es-CO"/>
              </w:rPr>
              <w:t xml:space="preserve">, P; </w:t>
            </w:r>
            <w:proofErr w:type="spellStart"/>
            <w:r w:rsidRPr="004936D2">
              <w:rPr>
                <w:rFonts w:ascii="Times New Roman" w:eastAsia="Times New Roman" w:hAnsi="Times New Roman" w:cs="Times New Roman"/>
                <w:sz w:val="20"/>
                <w:szCs w:val="20"/>
                <w:lang w:eastAsia="es-CO"/>
              </w:rPr>
              <w:t>Settineri</w:t>
            </w:r>
            <w:proofErr w:type="spellEnd"/>
            <w:r w:rsidRPr="004936D2">
              <w:rPr>
                <w:rFonts w:ascii="Times New Roman" w:eastAsia="Times New Roman" w:hAnsi="Times New Roman" w:cs="Times New Roman"/>
                <w:sz w:val="20"/>
                <w:szCs w:val="20"/>
                <w:lang w:eastAsia="es-CO"/>
              </w:rPr>
              <w:t>, L.</w:t>
            </w:r>
          </w:p>
        </w:tc>
        <w:tc>
          <w:tcPr>
            <w:tcW w:w="820" w:type="pct"/>
            <w:gridSpan w:val="2"/>
            <w:shd w:val="clear" w:color="auto" w:fill="FFFFFF" w:themeFill="background1"/>
            <w:tcMar>
              <w:top w:w="72" w:type="dxa"/>
              <w:left w:w="144" w:type="dxa"/>
              <w:bottom w:w="72" w:type="dxa"/>
              <w:right w:w="144" w:type="dxa"/>
            </w:tcMar>
            <w:vAlign w:val="center"/>
          </w:tcPr>
          <w:p w14:paraId="20F798A0"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Environmental knowledge management, environmental strategies and good practices, environmental management systems.</w:t>
            </w:r>
          </w:p>
        </w:tc>
        <w:tc>
          <w:tcPr>
            <w:tcW w:w="660" w:type="pct"/>
            <w:shd w:val="clear" w:color="auto" w:fill="FFFFFF" w:themeFill="background1"/>
            <w:tcMar>
              <w:top w:w="72" w:type="dxa"/>
              <w:left w:w="144" w:type="dxa"/>
              <w:bottom w:w="72" w:type="dxa"/>
              <w:right w:w="144" w:type="dxa"/>
            </w:tcMar>
            <w:vAlign w:val="center"/>
          </w:tcPr>
          <w:p w14:paraId="55A6F496"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Insufficient, initial, developed and consolidated</w:t>
            </w:r>
          </w:p>
        </w:tc>
        <w:tc>
          <w:tcPr>
            <w:tcW w:w="985" w:type="pct"/>
            <w:shd w:val="clear" w:color="auto" w:fill="FFFFFF" w:themeFill="background1"/>
            <w:tcMar>
              <w:top w:w="72" w:type="dxa"/>
              <w:left w:w="144" w:type="dxa"/>
              <w:bottom w:w="72" w:type="dxa"/>
              <w:right w:w="144" w:type="dxa"/>
            </w:tcMar>
            <w:vAlign w:val="center"/>
          </w:tcPr>
          <w:p w14:paraId="0101FCC2"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Evaluate the level of implementation of sustainability strategies and practices in SMEs, supporting their efforts to achieve environmental sustainability and improve their production systems.</w:t>
            </w:r>
          </w:p>
        </w:tc>
        <w:tc>
          <w:tcPr>
            <w:tcW w:w="890" w:type="pct"/>
            <w:shd w:val="clear" w:color="auto" w:fill="FFFFFF" w:themeFill="background1"/>
            <w:tcMar>
              <w:top w:w="72" w:type="dxa"/>
              <w:left w:w="144" w:type="dxa"/>
              <w:bottom w:w="72" w:type="dxa"/>
              <w:right w:w="144" w:type="dxa"/>
            </w:tcMar>
            <w:vAlign w:val="center"/>
          </w:tcPr>
          <w:p w14:paraId="444A3EEC"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It responds to the lack of sustainability maturity assessment models designed specifically for SMEs, integrating environmental knowledge management, environmental strategies and good practices, and environmental management systems.</w:t>
            </w:r>
          </w:p>
        </w:tc>
        <w:tc>
          <w:tcPr>
            <w:tcW w:w="467" w:type="pct"/>
            <w:shd w:val="clear" w:color="auto" w:fill="FFFFFF" w:themeFill="background1"/>
            <w:tcMar>
              <w:top w:w="72" w:type="dxa"/>
              <w:left w:w="144" w:type="dxa"/>
              <w:bottom w:w="72" w:type="dxa"/>
              <w:right w:w="144" w:type="dxa"/>
            </w:tcMar>
            <w:vAlign w:val="center"/>
          </w:tcPr>
          <w:p w14:paraId="6F5CB029"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SMEs</w:t>
            </w:r>
            <w:proofErr w:type="spellEnd"/>
          </w:p>
        </w:tc>
        <w:tc>
          <w:tcPr>
            <w:tcW w:w="493" w:type="pct"/>
            <w:shd w:val="clear" w:color="auto" w:fill="FFFFFF" w:themeFill="background1"/>
            <w:tcMar>
              <w:top w:w="72" w:type="dxa"/>
              <w:left w:w="144" w:type="dxa"/>
              <w:bottom w:w="72" w:type="dxa"/>
              <w:right w:w="144" w:type="dxa"/>
            </w:tcMar>
            <w:vAlign w:val="center"/>
          </w:tcPr>
          <w:p w14:paraId="51DF04B0"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Quantitative</w:t>
            </w:r>
            <w:proofErr w:type="spellEnd"/>
          </w:p>
        </w:tc>
      </w:tr>
      <w:tr w:rsidR="004936D2" w:rsidRPr="004936D2" w14:paraId="36006868" w14:textId="77777777" w:rsidTr="00E85466">
        <w:trPr>
          <w:trHeight w:val="584"/>
        </w:trPr>
        <w:tc>
          <w:tcPr>
            <w:tcW w:w="144" w:type="pct"/>
            <w:shd w:val="clear" w:color="auto" w:fill="FFFFFF" w:themeFill="background1"/>
            <w:vAlign w:val="center"/>
          </w:tcPr>
          <w:p w14:paraId="34F9FC73"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10</w:t>
            </w:r>
          </w:p>
        </w:tc>
        <w:tc>
          <w:tcPr>
            <w:tcW w:w="542" w:type="pct"/>
            <w:shd w:val="clear" w:color="auto" w:fill="FFFFFF" w:themeFill="background1"/>
            <w:tcMar>
              <w:top w:w="72" w:type="dxa"/>
              <w:left w:w="144" w:type="dxa"/>
              <w:bottom w:w="72" w:type="dxa"/>
              <w:right w:w="144" w:type="dxa"/>
            </w:tcMar>
            <w:vAlign w:val="center"/>
          </w:tcPr>
          <w:p w14:paraId="755690D4"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 xml:space="preserve">Voss, M; </w:t>
            </w:r>
            <w:proofErr w:type="spellStart"/>
            <w:r w:rsidRPr="004936D2">
              <w:rPr>
                <w:rFonts w:ascii="Times New Roman" w:eastAsia="Times New Roman" w:hAnsi="Times New Roman" w:cs="Times New Roman"/>
                <w:sz w:val="20"/>
                <w:szCs w:val="20"/>
                <w:lang w:val="en-US" w:eastAsia="es-CO"/>
              </w:rPr>
              <w:t>Jaspert</w:t>
            </w:r>
            <w:proofErr w:type="spellEnd"/>
            <w:r w:rsidRPr="004936D2">
              <w:rPr>
                <w:rFonts w:ascii="Times New Roman" w:eastAsia="Times New Roman" w:hAnsi="Times New Roman" w:cs="Times New Roman"/>
                <w:sz w:val="20"/>
                <w:szCs w:val="20"/>
                <w:lang w:val="en-US" w:eastAsia="es-CO"/>
              </w:rPr>
              <w:t xml:space="preserve">, D; Ahlfeld, C; </w:t>
            </w:r>
            <w:proofErr w:type="spellStart"/>
            <w:r w:rsidRPr="004936D2">
              <w:rPr>
                <w:rFonts w:ascii="Times New Roman" w:eastAsia="Times New Roman" w:hAnsi="Times New Roman" w:cs="Times New Roman"/>
                <w:sz w:val="20"/>
                <w:szCs w:val="20"/>
                <w:lang w:val="en-US" w:eastAsia="es-CO"/>
              </w:rPr>
              <w:t>Sucke</w:t>
            </w:r>
            <w:proofErr w:type="spellEnd"/>
            <w:r w:rsidRPr="004936D2">
              <w:rPr>
                <w:rFonts w:ascii="Times New Roman" w:eastAsia="Times New Roman" w:hAnsi="Times New Roman" w:cs="Times New Roman"/>
                <w:sz w:val="20"/>
                <w:szCs w:val="20"/>
                <w:lang w:val="en-US" w:eastAsia="es-CO"/>
              </w:rPr>
              <w:t>, L.</w:t>
            </w:r>
          </w:p>
        </w:tc>
        <w:tc>
          <w:tcPr>
            <w:tcW w:w="820" w:type="pct"/>
            <w:gridSpan w:val="2"/>
            <w:shd w:val="clear" w:color="auto" w:fill="FFFFFF" w:themeFill="background1"/>
            <w:tcMar>
              <w:top w:w="72" w:type="dxa"/>
              <w:left w:w="144" w:type="dxa"/>
              <w:bottom w:w="72" w:type="dxa"/>
              <w:right w:w="144" w:type="dxa"/>
            </w:tcMar>
            <w:vAlign w:val="center"/>
          </w:tcPr>
          <w:p w14:paraId="14FF190B"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Data analysis, digital skills, leadership responsibility, strategies, organization and digital business culture.</w:t>
            </w:r>
          </w:p>
        </w:tc>
        <w:tc>
          <w:tcPr>
            <w:tcW w:w="660" w:type="pct"/>
            <w:shd w:val="clear" w:color="auto" w:fill="FFFFFF" w:themeFill="background1"/>
            <w:tcMar>
              <w:top w:w="72" w:type="dxa"/>
              <w:left w:w="144" w:type="dxa"/>
              <w:bottom w:w="72" w:type="dxa"/>
              <w:right w:w="144" w:type="dxa"/>
            </w:tcMar>
            <w:vAlign w:val="center"/>
          </w:tcPr>
          <w:p w14:paraId="19707093"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w:t>
            </w:r>
          </w:p>
        </w:tc>
        <w:tc>
          <w:tcPr>
            <w:tcW w:w="985" w:type="pct"/>
            <w:shd w:val="clear" w:color="auto" w:fill="FFFFFF" w:themeFill="background1"/>
            <w:tcMar>
              <w:top w:w="72" w:type="dxa"/>
              <w:left w:w="144" w:type="dxa"/>
              <w:bottom w:w="72" w:type="dxa"/>
              <w:right w:w="144" w:type="dxa"/>
            </w:tcMar>
            <w:vAlign w:val="center"/>
          </w:tcPr>
          <w:p w14:paraId="099B6603"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Develop a model to analyse the digital maturity of the different phases of the sales process in B2B businesses, especially in the context of industrial projects, to guide companies in their digital transformation activities.</w:t>
            </w:r>
          </w:p>
        </w:tc>
        <w:tc>
          <w:tcPr>
            <w:tcW w:w="890" w:type="pct"/>
            <w:shd w:val="clear" w:color="auto" w:fill="FFFFFF" w:themeFill="background1"/>
            <w:tcMar>
              <w:top w:w="72" w:type="dxa"/>
              <w:left w:w="144" w:type="dxa"/>
              <w:bottom w:w="72" w:type="dxa"/>
              <w:right w:w="144" w:type="dxa"/>
            </w:tcMar>
            <w:vAlign w:val="center"/>
          </w:tcPr>
          <w:p w14:paraId="29A533D1"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 xml:space="preserve">There is a need in the market for maturity models that focus specifically on sales processes within manufacturing and project companies. This model seeks to fill this gap and provide a framework for evaluation and </w:t>
            </w:r>
            <w:r w:rsidRPr="004936D2">
              <w:rPr>
                <w:rFonts w:ascii="Times New Roman" w:eastAsia="Times New Roman" w:hAnsi="Times New Roman" w:cs="Times New Roman"/>
                <w:sz w:val="20"/>
                <w:szCs w:val="20"/>
                <w:lang w:val="en-US" w:eastAsia="es-CO"/>
              </w:rPr>
              <w:lastRenderedPageBreak/>
              <w:t>continuous improvement in the digitalization of sales processes.</w:t>
            </w:r>
          </w:p>
        </w:tc>
        <w:tc>
          <w:tcPr>
            <w:tcW w:w="467" w:type="pct"/>
            <w:shd w:val="clear" w:color="auto" w:fill="FFFFFF" w:themeFill="background1"/>
            <w:tcMar>
              <w:top w:w="72" w:type="dxa"/>
              <w:left w:w="144" w:type="dxa"/>
              <w:bottom w:w="72" w:type="dxa"/>
              <w:right w:w="144" w:type="dxa"/>
            </w:tcMar>
            <w:vAlign w:val="center"/>
          </w:tcPr>
          <w:p w14:paraId="41C1B1A4"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lastRenderedPageBreak/>
              <w:t>Large</w:t>
            </w:r>
            <w:proofErr w:type="spellEnd"/>
            <w:r w:rsidRPr="004936D2">
              <w:rPr>
                <w:rFonts w:ascii="Times New Roman" w:eastAsia="Times New Roman" w:hAnsi="Times New Roman" w:cs="Times New Roman"/>
                <w:sz w:val="20"/>
                <w:szCs w:val="20"/>
                <w:lang w:eastAsia="es-CO"/>
              </w:rPr>
              <w:t xml:space="preserve"> industrial </w:t>
            </w:r>
            <w:proofErr w:type="spellStart"/>
            <w:r w:rsidRPr="004936D2">
              <w:rPr>
                <w:rFonts w:ascii="Times New Roman" w:eastAsia="Times New Roman" w:hAnsi="Times New Roman" w:cs="Times New Roman"/>
                <w:sz w:val="20"/>
                <w:szCs w:val="20"/>
                <w:lang w:eastAsia="es-CO"/>
              </w:rPr>
              <w:t>companies</w:t>
            </w:r>
            <w:proofErr w:type="spellEnd"/>
          </w:p>
        </w:tc>
        <w:tc>
          <w:tcPr>
            <w:tcW w:w="493" w:type="pct"/>
            <w:shd w:val="clear" w:color="auto" w:fill="FFFFFF" w:themeFill="background1"/>
            <w:tcMar>
              <w:top w:w="72" w:type="dxa"/>
              <w:left w:w="144" w:type="dxa"/>
              <w:bottom w:w="72" w:type="dxa"/>
              <w:right w:w="144" w:type="dxa"/>
            </w:tcMar>
            <w:vAlign w:val="center"/>
          </w:tcPr>
          <w:p w14:paraId="3EC8BCD1"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Qualitative</w:t>
            </w:r>
            <w:proofErr w:type="spellEnd"/>
            <w:r w:rsidRPr="004936D2">
              <w:rPr>
                <w:rFonts w:ascii="Times New Roman" w:eastAsia="Times New Roman" w:hAnsi="Times New Roman" w:cs="Times New Roman"/>
                <w:sz w:val="20"/>
                <w:szCs w:val="20"/>
                <w:lang w:eastAsia="es-CO"/>
              </w:rPr>
              <w:t xml:space="preserve"> and </w:t>
            </w:r>
            <w:proofErr w:type="spellStart"/>
            <w:r w:rsidRPr="004936D2">
              <w:rPr>
                <w:rFonts w:ascii="Times New Roman" w:eastAsia="Times New Roman" w:hAnsi="Times New Roman" w:cs="Times New Roman"/>
                <w:sz w:val="20"/>
                <w:szCs w:val="20"/>
                <w:lang w:eastAsia="es-CO"/>
              </w:rPr>
              <w:t>quantitative</w:t>
            </w:r>
            <w:proofErr w:type="spellEnd"/>
          </w:p>
        </w:tc>
      </w:tr>
      <w:tr w:rsidR="004936D2" w:rsidRPr="004936D2" w14:paraId="635CDB66" w14:textId="77777777" w:rsidTr="00E85466">
        <w:trPr>
          <w:trHeight w:val="584"/>
        </w:trPr>
        <w:tc>
          <w:tcPr>
            <w:tcW w:w="144" w:type="pct"/>
            <w:shd w:val="clear" w:color="auto" w:fill="FFFFFF" w:themeFill="background1"/>
            <w:vAlign w:val="center"/>
          </w:tcPr>
          <w:p w14:paraId="48B22663"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11</w:t>
            </w:r>
          </w:p>
        </w:tc>
        <w:tc>
          <w:tcPr>
            <w:tcW w:w="542" w:type="pct"/>
            <w:shd w:val="clear" w:color="auto" w:fill="FFFFFF" w:themeFill="background1"/>
            <w:tcMar>
              <w:top w:w="72" w:type="dxa"/>
              <w:left w:w="144" w:type="dxa"/>
              <w:bottom w:w="72" w:type="dxa"/>
              <w:right w:w="144" w:type="dxa"/>
            </w:tcMar>
            <w:vAlign w:val="center"/>
          </w:tcPr>
          <w:p w14:paraId="75777E2D" w14:textId="77777777" w:rsidR="004936D2" w:rsidRPr="004936D2" w:rsidRDefault="004936D2" w:rsidP="00E85466">
            <w:pPr>
              <w:spacing w:line="240" w:lineRule="auto"/>
              <w:jc w:val="center"/>
              <w:rPr>
                <w:rFonts w:ascii="Times New Roman" w:eastAsia="Times New Roman" w:hAnsi="Times New Roman" w:cs="Times New Roman"/>
                <w:sz w:val="20"/>
                <w:szCs w:val="20"/>
                <w:lang w:val="fi-FI" w:eastAsia="es-CO"/>
              </w:rPr>
            </w:pPr>
            <w:r w:rsidRPr="004936D2">
              <w:rPr>
                <w:rFonts w:ascii="Times New Roman" w:eastAsia="Times New Roman" w:hAnsi="Times New Roman" w:cs="Times New Roman"/>
                <w:sz w:val="20"/>
                <w:szCs w:val="20"/>
                <w:lang w:val="fi-FI" w:eastAsia="es-CO"/>
              </w:rPr>
              <w:t>Merdin, D; Ersoz, F; Taskin, H.</w:t>
            </w:r>
          </w:p>
          <w:p w14:paraId="043078DD" w14:textId="77777777" w:rsidR="004936D2" w:rsidRPr="004936D2" w:rsidRDefault="004936D2" w:rsidP="00E85466">
            <w:pPr>
              <w:spacing w:line="240" w:lineRule="auto"/>
              <w:jc w:val="center"/>
              <w:rPr>
                <w:rFonts w:ascii="Times New Roman" w:eastAsia="Times New Roman" w:hAnsi="Times New Roman" w:cs="Times New Roman"/>
                <w:sz w:val="20"/>
                <w:szCs w:val="20"/>
                <w:lang w:val="fi-FI" w:eastAsia="es-CO"/>
              </w:rPr>
            </w:pPr>
          </w:p>
        </w:tc>
        <w:tc>
          <w:tcPr>
            <w:tcW w:w="820" w:type="pct"/>
            <w:gridSpan w:val="2"/>
            <w:shd w:val="clear" w:color="auto" w:fill="FFFFFF" w:themeFill="background1"/>
            <w:tcMar>
              <w:top w:w="72" w:type="dxa"/>
              <w:left w:w="144" w:type="dxa"/>
              <w:bottom w:w="72" w:type="dxa"/>
              <w:right w:w="144" w:type="dxa"/>
            </w:tcMar>
            <w:vAlign w:val="center"/>
          </w:tcPr>
          <w:p w14:paraId="52997B25"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Strategy, customers, employees, process management, technology and data management, organizational culture, innovation.</w:t>
            </w:r>
          </w:p>
          <w:p w14:paraId="65161182"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p>
        </w:tc>
        <w:tc>
          <w:tcPr>
            <w:tcW w:w="660" w:type="pct"/>
            <w:shd w:val="clear" w:color="auto" w:fill="FFFFFF" w:themeFill="background1"/>
            <w:tcMar>
              <w:top w:w="72" w:type="dxa"/>
              <w:left w:w="144" w:type="dxa"/>
              <w:bottom w:w="72" w:type="dxa"/>
              <w:right w:w="144" w:type="dxa"/>
            </w:tcMar>
            <w:vAlign w:val="center"/>
          </w:tcPr>
          <w:p w14:paraId="1AAA849E"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w:t>
            </w:r>
          </w:p>
        </w:tc>
        <w:tc>
          <w:tcPr>
            <w:tcW w:w="985" w:type="pct"/>
            <w:shd w:val="clear" w:color="auto" w:fill="FFFFFF" w:themeFill="background1"/>
            <w:tcMar>
              <w:top w:w="72" w:type="dxa"/>
              <w:left w:w="144" w:type="dxa"/>
              <w:bottom w:w="72" w:type="dxa"/>
              <w:right w:w="144" w:type="dxa"/>
            </w:tcMar>
            <w:vAlign w:val="center"/>
          </w:tcPr>
          <w:p w14:paraId="1AAE5374"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Develop and validate a MMD that is applicable to Turkish companies, providing a framework to assess their digital transformation</w:t>
            </w:r>
          </w:p>
          <w:p w14:paraId="2CC44981"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p>
        </w:tc>
        <w:tc>
          <w:tcPr>
            <w:tcW w:w="890" w:type="pct"/>
            <w:shd w:val="clear" w:color="auto" w:fill="FFFFFF" w:themeFill="background1"/>
            <w:tcMar>
              <w:top w:w="72" w:type="dxa"/>
              <w:left w:w="144" w:type="dxa"/>
              <w:bottom w:w="72" w:type="dxa"/>
              <w:right w:w="144" w:type="dxa"/>
            </w:tcMar>
            <w:vAlign w:val="center"/>
          </w:tcPr>
          <w:p w14:paraId="0144B4D5"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 xml:space="preserve">Need for a MMD specifically tailored to the Turkish business context, </w:t>
            </w:r>
            <w:proofErr w:type="gramStart"/>
            <w:r w:rsidRPr="004936D2">
              <w:rPr>
                <w:rFonts w:ascii="Times New Roman" w:eastAsia="Times New Roman" w:hAnsi="Times New Roman" w:cs="Times New Roman"/>
                <w:sz w:val="20"/>
                <w:szCs w:val="20"/>
                <w:lang w:val="en-US" w:eastAsia="es-CO"/>
              </w:rPr>
              <w:t>taking into account</w:t>
            </w:r>
            <w:proofErr w:type="gramEnd"/>
            <w:r w:rsidRPr="004936D2">
              <w:rPr>
                <w:rFonts w:ascii="Times New Roman" w:eastAsia="Times New Roman" w:hAnsi="Times New Roman" w:cs="Times New Roman"/>
                <w:sz w:val="20"/>
                <w:szCs w:val="20"/>
                <w:lang w:val="en-US" w:eastAsia="es-CO"/>
              </w:rPr>
              <w:t xml:space="preserve"> the particularities and needs of local companies in their digital transformation journey.</w:t>
            </w:r>
          </w:p>
          <w:p w14:paraId="43D9F01F"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p>
        </w:tc>
        <w:tc>
          <w:tcPr>
            <w:tcW w:w="467" w:type="pct"/>
            <w:shd w:val="clear" w:color="auto" w:fill="FFFFFF" w:themeFill="background1"/>
            <w:tcMar>
              <w:top w:w="72" w:type="dxa"/>
              <w:left w:w="144" w:type="dxa"/>
              <w:bottom w:w="72" w:type="dxa"/>
              <w:right w:w="144" w:type="dxa"/>
            </w:tcMar>
            <w:vAlign w:val="center"/>
          </w:tcPr>
          <w:p w14:paraId="1ADDBD91"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val="fi-FI" w:eastAsia="es-CO"/>
              </w:rPr>
              <w:t>Turkish companies</w:t>
            </w:r>
          </w:p>
        </w:tc>
        <w:tc>
          <w:tcPr>
            <w:tcW w:w="493" w:type="pct"/>
            <w:shd w:val="clear" w:color="auto" w:fill="FFFFFF" w:themeFill="background1"/>
            <w:tcMar>
              <w:top w:w="72" w:type="dxa"/>
              <w:left w:w="144" w:type="dxa"/>
              <w:bottom w:w="72" w:type="dxa"/>
              <w:right w:w="144" w:type="dxa"/>
            </w:tcMar>
            <w:vAlign w:val="center"/>
          </w:tcPr>
          <w:p w14:paraId="47BE1C9F"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val="fi-FI" w:eastAsia="es-CO"/>
              </w:rPr>
              <w:t>Qualitative and quantitative</w:t>
            </w:r>
          </w:p>
        </w:tc>
      </w:tr>
      <w:tr w:rsidR="004936D2" w:rsidRPr="004936D2" w14:paraId="0275F071" w14:textId="77777777" w:rsidTr="00E85466">
        <w:trPr>
          <w:trHeight w:val="3834"/>
        </w:trPr>
        <w:tc>
          <w:tcPr>
            <w:tcW w:w="144" w:type="pct"/>
            <w:shd w:val="clear" w:color="auto" w:fill="FFFFFF" w:themeFill="background1"/>
            <w:vAlign w:val="center"/>
          </w:tcPr>
          <w:p w14:paraId="7C59B783"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12</w:t>
            </w:r>
          </w:p>
        </w:tc>
        <w:tc>
          <w:tcPr>
            <w:tcW w:w="542" w:type="pct"/>
            <w:shd w:val="clear" w:color="auto" w:fill="FFFFFF" w:themeFill="background1"/>
            <w:tcMar>
              <w:top w:w="72" w:type="dxa"/>
              <w:left w:w="144" w:type="dxa"/>
              <w:bottom w:w="72" w:type="dxa"/>
              <w:right w:w="144" w:type="dxa"/>
            </w:tcMar>
            <w:vAlign w:val="center"/>
          </w:tcPr>
          <w:p w14:paraId="18E2062B"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Karcıoğlu</w:t>
            </w:r>
            <w:proofErr w:type="spellEnd"/>
            <w:r w:rsidRPr="004936D2">
              <w:rPr>
                <w:rFonts w:ascii="Times New Roman" w:eastAsia="Times New Roman" w:hAnsi="Times New Roman" w:cs="Times New Roman"/>
                <w:sz w:val="20"/>
                <w:szCs w:val="20"/>
                <w:lang w:eastAsia="es-CO"/>
              </w:rPr>
              <w:t xml:space="preserve">, R; </w:t>
            </w:r>
            <w:proofErr w:type="spellStart"/>
            <w:r w:rsidRPr="004936D2">
              <w:rPr>
                <w:rFonts w:ascii="Times New Roman" w:eastAsia="Times New Roman" w:hAnsi="Times New Roman" w:cs="Times New Roman"/>
                <w:sz w:val="20"/>
                <w:szCs w:val="20"/>
                <w:lang w:eastAsia="es-CO"/>
              </w:rPr>
              <w:t>Binici</w:t>
            </w:r>
            <w:proofErr w:type="spellEnd"/>
            <w:r w:rsidRPr="004936D2">
              <w:rPr>
                <w:rFonts w:ascii="Times New Roman" w:eastAsia="Times New Roman" w:hAnsi="Times New Roman" w:cs="Times New Roman"/>
                <w:sz w:val="20"/>
                <w:szCs w:val="20"/>
                <w:lang w:eastAsia="es-CO"/>
              </w:rPr>
              <w:t>, F</w:t>
            </w:r>
          </w:p>
        </w:tc>
        <w:tc>
          <w:tcPr>
            <w:tcW w:w="820" w:type="pct"/>
            <w:gridSpan w:val="2"/>
            <w:shd w:val="clear" w:color="auto" w:fill="FFFFFF" w:themeFill="background1"/>
            <w:tcMar>
              <w:top w:w="72" w:type="dxa"/>
              <w:left w:w="144" w:type="dxa"/>
              <w:bottom w:w="72" w:type="dxa"/>
              <w:right w:w="144" w:type="dxa"/>
            </w:tcMar>
            <w:vAlign w:val="center"/>
          </w:tcPr>
          <w:p w14:paraId="3213508D"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w:t>
            </w:r>
          </w:p>
        </w:tc>
        <w:tc>
          <w:tcPr>
            <w:tcW w:w="660" w:type="pct"/>
            <w:shd w:val="clear" w:color="auto" w:fill="FFFFFF" w:themeFill="background1"/>
            <w:tcMar>
              <w:top w:w="72" w:type="dxa"/>
              <w:left w:w="144" w:type="dxa"/>
              <w:bottom w:w="72" w:type="dxa"/>
              <w:right w:w="144" w:type="dxa"/>
            </w:tcMar>
            <w:vAlign w:val="center"/>
          </w:tcPr>
          <w:p w14:paraId="2A05FC27"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Limited, basic, intermediate, advanced and expert.</w:t>
            </w:r>
          </w:p>
        </w:tc>
        <w:tc>
          <w:tcPr>
            <w:tcW w:w="985" w:type="pct"/>
            <w:shd w:val="clear" w:color="auto" w:fill="FFFFFF" w:themeFill="background1"/>
            <w:tcMar>
              <w:top w:w="72" w:type="dxa"/>
              <w:left w:w="144" w:type="dxa"/>
              <w:bottom w:w="72" w:type="dxa"/>
              <w:right w:w="144" w:type="dxa"/>
            </w:tcMar>
            <w:vAlign w:val="center"/>
          </w:tcPr>
          <w:p w14:paraId="42A73038"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To investigate and assess the level of digital skills among accounting professionals, identify gaps, and provide guidelines to enhance the adoption of advanced technologies in their professional practice.</w:t>
            </w:r>
          </w:p>
        </w:tc>
        <w:tc>
          <w:tcPr>
            <w:tcW w:w="890" w:type="pct"/>
            <w:shd w:val="clear" w:color="auto" w:fill="FFFFFF" w:themeFill="background1"/>
            <w:tcMar>
              <w:top w:w="72" w:type="dxa"/>
              <w:left w:w="144" w:type="dxa"/>
              <w:bottom w:w="72" w:type="dxa"/>
              <w:right w:w="144" w:type="dxa"/>
            </w:tcMar>
            <w:vAlign w:val="center"/>
          </w:tcPr>
          <w:p w14:paraId="22F1BC32"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The need for this study arises from the rapid evolution of digital technologies and the importance for accounting professionals to update their skills to stay relevant and efficient in a digitally transformed business environment.</w:t>
            </w:r>
          </w:p>
        </w:tc>
        <w:tc>
          <w:tcPr>
            <w:tcW w:w="467" w:type="pct"/>
            <w:shd w:val="clear" w:color="auto" w:fill="FFFFFF" w:themeFill="background1"/>
            <w:tcMar>
              <w:top w:w="72" w:type="dxa"/>
              <w:left w:w="144" w:type="dxa"/>
              <w:bottom w:w="72" w:type="dxa"/>
              <w:right w:w="144" w:type="dxa"/>
            </w:tcMar>
            <w:vAlign w:val="center"/>
          </w:tcPr>
          <w:p w14:paraId="2ECD9A90"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Turkish</w:t>
            </w:r>
            <w:proofErr w:type="spellEnd"/>
            <w:r w:rsidRPr="004936D2">
              <w:rPr>
                <w:rFonts w:ascii="Times New Roman" w:eastAsia="Times New Roman" w:hAnsi="Times New Roman" w:cs="Times New Roman"/>
                <w:sz w:val="20"/>
                <w:szCs w:val="20"/>
                <w:lang w:eastAsia="es-CO"/>
              </w:rPr>
              <w:t xml:space="preserve"> </w:t>
            </w:r>
            <w:proofErr w:type="spellStart"/>
            <w:r w:rsidRPr="004936D2">
              <w:rPr>
                <w:rFonts w:ascii="Times New Roman" w:eastAsia="Times New Roman" w:hAnsi="Times New Roman" w:cs="Times New Roman"/>
                <w:sz w:val="20"/>
                <w:szCs w:val="20"/>
                <w:lang w:eastAsia="es-CO"/>
              </w:rPr>
              <w:t>companies</w:t>
            </w:r>
            <w:proofErr w:type="spellEnd"/>
          </w:p>
        </w:tc>
        <w:tc>
          <w:tcPr>
            <w:tcW w:w="493" w:type="pct"/>
            <w:shd w:val="clear" w:color="auto" w:fill="FFFFFF" w:themeFill="background1"/>
            <w:tcMar>
              <w:top w:w="72" w:type="dxa"/>
              <w:left w:w="144" w:type="dxa"/>
              <w:bottom w:w="72" w:type="dxa"/>
              <w:right w:w="144" w:type="dxa"/>
            </w:tcMar>
            <w:vAlign w:val="center"/>
          </w:tcPr>
          <w:p w14:paraId="20AF5C55"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Quantitative</w:t>
            </w:r>
            <w:proofErr w:type="spellEnd"/>
          </w:p>
        </w:tc>
      </w:tr>
      <w:tr w:rsidR="004936D2" w:rsidRPr="004936D2" w14:paraId="1543FEB3" w14:textId="77777777" w:rsidTr="00E85466">
        <w:trPr>
          <w:trHeight w:val="2665"/>
        </w:trPr>
        <w:tc>
          <w:tcPr>
            <w:tcW w:w="144" w:type="pct"/>
            <w:shd w:val="clear" w:color="auto" w:fill="FFFFFF" w:themeFill="background1"/>
            <w:vAlign w:val="center"/>
          </w:tcPr>
          <w:p w14:paraId="0195BE13"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lastRenderedPageBreak/>
              <w:t>13</w:t>
            </w:r>
          </w:p>
        </w:tc>
        <w:tc>
          <w:tcPr>
            <w:tcW w:w="542" w:type="pct"/>
            <w:shd w:val="clear" w:color="auto" w:fill="FFFFFF" w:themeFill="background1"/>
            <w:tcMar>
              <w:top w:w="72" w:type="dxa"/>
              <w:left w:w="144" w:type="dxa"/>
              <w:bottom w:w="72" w:type="dxa"/>
              <w:right w:w="144" w:type="dxa"/>
            </w:tcMar>
            <w:vAlign w:val="center"/>
          </w:tcPr>
          <w:p w14:paraId="68A99A05"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 xml:space="preserve">Han, X; Zhang, M; </w:t>
            </w:r>
            <w:proofErr w:type="spellStart"/>
            <w:r w:rsidRPr="004936D2">
              <w:rPr>
                <w:rFonts w:ascii="Times New Roman" w:eastAsia="Times New Roman" w:hAnsi="Times New Roman" w:cs="Times New Roman"/>
                <w:sz w:val="20"/>
                <w:szCs w:val="20"/>
                <w:lang w:eastAsia="es-CO"/>
              </w:rPr>
              <w:t>Hu</w:t>
            </w:r>
            <w:proofErr w:type="spellEnd"/>
            <w:r w:rsidRPr="004936D2">
              <w:rPr>
                <w:rFonts w:ascii="Times New Roman" w:eastAsia="Times New Roman" w:hAnsi="Times New Roman" w:cs="Times New Roman"/>
                <w:sz w:val="20"/>
                <w:szCs w:val="20"/>
                <w:lang w:eastAsia="es-CO"/>
              </w:rPr>
              <w:t>, Y; Huang, Y</w:t>
            </w:r>
          </w:p>
        </w:tc>
        <w:tc>
          <w:tcPr>
            <w:tcW w:w="820" w:type="pct"/>
            <w:gridSpan w:val="2"/>
            <w:shd w:val="clear" w:color="auto" w:fill="FFFFFF" w:themeFill="background1"/>
            <w:tcMar>
              <w:top w:w="72" w:type="dxa"/>
              <w:left w:w="144" w:type="dxa"/>
              <w:bottom w:w="72" w:type="dxa"/>
              <w:right w:w="144" w:type="dxa"/>
            </w:tcMar>
            <w:vAlign w:val="center"/>
          </w:tcPr>
          <w:p w14:paraId="4D86AEB7"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High-level design, infrastructure, cost consultation business process, professional management, comprehensive integration and digital cost performance.</w:t>
            </w:r>
          </w:p>
        </w:tc>
        <w:tc>
          <w:tcPr>
            <w:tcW w:w="660" w:type="pct"/>
            <w:shd w:val="clear" w:color="auto" w:fill="FFFFFF" w:themeFill="background1"/>
            <w:tcMar>
              <w:top w:w="72" w:type="dxa"/>
              <w:left w:w="144" w:type="dxa"/>
              <w:bottom w:w="72" w:type="dxa"/>
              <w:right w:w="144" w:type="dxa"/>
            </w:tcMar>
            <w:vAlign w:val="center"/>
          </w:tcPr>
          <w:p w14:paraId="42E987B5"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beginner, beginning, practitioner, pioneer and leader</w:t>
            </w:r>
          </w:p>
        </w:tc>
        <w:tc>
          <w:tcPr>
            <w:tcW w:w="985" w:type="pct"/>
            <w:shd w:val="clear" w:color="auto" w:fill="FFFFFF" w:themeFill="background1"/>
            <w:tcMar>
              <w:top w:w="72" w:type="dxa"/>
              <w:left w:w="144" w:type="dxa"/>
              <w:bottom w:w="72" w:type="dxa"/>
              <w:right w:w="144" w:type="dxa"/>
            </w:tcMar>
            <w:vAlign w:val="center"/>
          </w:tcPr>
          <w:p w14:paraId="140813CE"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Build a specific DMM for cost consulting companies, which allows them to scientifically and accurately assess their level of digital maturity and thus identify areas of improvement for digital transformation.</w:t>
            </w:r>
          </w:p>
        </w:tc>
        <w:tc>
          <w:tcPr>
            <w:tcW w:w="890" w:type="pct"/>
            <w:shd w:val="clear" w:color="auto" w:fill="FFFFFF" w:themeFill="background1"/>
            <w:tcMar>
              <w:top w:w="72" w:type="dxa"/>
              <w:left w:w="144" w:type="dxa"/>
              <w:bottom w:w="72" w:type="dxa"/>
              <w:right w:w="144" w:type="dxa"/>
            </w:tcMar>
            <w:vAlign w:val="center"/>
          </w:tcPr>
          <w:p w14:paraId="14EC92A4"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 xml:space="preserve">The need arises from the importance of digitalization in the cost consulting industry, a data-intensive industry, and the lack of specific studies and appropriate tools for this </w:t>
            </w:r>
            <w:proofErr w:type="gramStart"/>
            <w:r w:rsidRPr="004936D2">
              <w:rPr>
                <w:rFonts w:ascii="Times New Roman" w:eastAsia="Times New Roman" w:hAnsi="Times New Roman" w:cs="Times New Roman"/>
                <w:sz w:val="20"/>
                <w:szCs w:val="20"/>
                <w:lang w:val="en-US" w:eastAsia="es-CO"/>
              </w:rPr>
              <w:t>particular industry</w:t>
            </w:r>
            <w:proofErr w:type="gramEnd"/>
            <w:r w:rsidRPr="004936D2">
              <w:rPr>
                <w:rFonts w:ascii="Times New Roman" w:eastAsia="Times New Roman" w:hAnsi="Times New Roman" w:cs="Times New Roman"/>
                <w:sz w:val="20"/>
                <w:szCs w:val="20"/>
                <w:lang w:val="en-US" w:eastAsia="es-CO"/>
              </w:rPr>
              <w:t>.</w:t>
            </w:r>
          </w:p>
        </w:tc>
        <w:tc>
          <w:tcPr>
            <w:tcW w:w="467" w:type="pct"/>
            <w:shd w:val="clear" w:color="auto" w:fill="FFFFFF" w:themeFill="background1"/>
            <w:tcMar>
              <w:top w:w="72" w:type="dxa"/>
              <w:left w:w="144" w:type="dxa"/>
              <w:bottom w:w="72" w:type="dxa"/>
              <w:right w:w="144" w:type="dxa"/>
            </w:tcMar>
            <w:vAlign w:val="center"/>
          </w:tcPr>
          <w:p w14:paraId="52C25805"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Cost</w:t>
            </w:r>
            <w:proofErr w:type="spellEnd"/>
            <w:r w:rsidRPr="004936D2">
              <w:rPr>
                <w:rFonts w:ascii="Times New Roman" w:eastAsia="Times New Roman" w:hAnsi="Times New Roman" w:cs="Times New Roman"/>
                <w:sz w:val="20"/>
                <w:szCs w:val="20"/>
                <w:lang w:eastAsia="es-CO"/>
              </w:rPr>
              <w:t xml:space="preserve"> </w:t>
            </w:r>
            <w:proofErr w:type="spellStart"/>
            <w:r w:rsidRPr="004936D2">
              <w:rPr>
                <w:rFonts w:ascii="Times New Roman" w:eastAsia="Times New Roman" w:hAnsi="Times New Roman" w:cs="Times New Roman"/>
                <w:sz w:val="20"/>
                <w:szCs w:val="20"/>
                <w:lang w:eastAsia="es-CO"/>
              </w:rPr>
              <w:t>consulting</w:t>
            </w:r>
            <w:proofErr w:type="spellEnd"/>
            <w:r w:rsidRPr="004936D2">
              <w:rPr>
                <w:rFonts w:ascii="Times New Roman" w:eastAsia="Times New Roman" w:hAnsi="Times New Roman" w:cs="Times New Roman"/>
                <w:sz w:val="20"/>
                <w:szCs w:val="20"/>
                <w:lang w:eastAsia="es-CO"/>
              </w:rPr>
              <w:t xml:space="preserve"> </w:t>
            </w:r>
            <w:proofErr w:type="spellStart"/>
            <w:r w:rsidRPr="004936D2">
              <w:rPr>
                <w:rFonts w:ascii="Times New Roman" w:eastAsia="Times New Roman" w:hAnsi="Times New Roman" w:cs="Times New Roman"/>
                <w:sz w:val="20"/>
                <w:szCs w:val="20"/>
                <w:lang w:eastAsia="es-CO"/>
              </w:rPr>
              <w:t>companies</w:t>
            </w:r>
            <w:proofErr w:type="spellEnd"/>
          </w:p>
        </w:tc>
        <w:tc>
          <w:tcPr>
            <w:tcW w:w="493" w:type="pct"/>
            <w:shd w:val="clear" w:color="auto" w:fill="FFFFFF" w:themeFill="background1"/>
            <w:tcMar>
              <w:top w:w="72" w:type="dxa"/>
              <w:left w:w="144" w:type="dxa"/>
              <w:bottom w:w="72" w:type="dxa"/>
              <w:right w:w="144" w:type="dxa"/>
            </w:tcMar>
            <w:vAlign w:val="center"/>
          </w:tcPr>
          <w:p w14:paraId="04B7ABBC"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Qualitative</w:t>
            </w:r>
            <w:proofErr w:type="spellEnd"/>
            <w:r w:rsidRPr="004936D2">
              <w:rPr>
                <w:rFonts w:ascii="Times New Roman" w:eastAsia="Times New Roman" w:hAnsi="Times New Roman" w:cs="Times New Roman"/>
                <w:sz w:val="20"/>
                <w:szCs w:val="20"/>
                <w:lang w:eastAsia="es-CO"/>
              </w:rPr>
              <w:t xml:space="preserve"> and </w:t>
            </w:r>
            <w:proofErr w:type="spellStart"/>
            <w:r w:rsidRPr="004936D2">
              <w:rPr>
                <w:rFonts w:ascii="Times New Roman" w:eastAsia="Times New Roman" w:hAnsi="Times New Roman" w:cs="Times New Roman"/>
                <w:sz w:val="20"/>
                <w:szCs w:val="20"/>
                <w:lang w:eastAsia="es-CO"/>
              </w:rPr>
              <w:t>quantitative</w:t>
            </w:r>
            <w:proofErr w:type="spellEnd"/>
          </w:p>
        </w:tc>
      </w:tr>
      <w:tr w:rsidR="004936D2" w:rsidRPr="004936D2" w14:paraId="48B9630B" w14:textId="77777777" w:rsidTr="00E85466">
        <w:trPr>
          <w:trHeight w:val="2665"/>
        </w:trPr>
        <w:tc>
          <w:tcPr>
            <w:tcW w:w="144" w:type="pct"/>
            <w:shd w:val="clear" w:color="auto" w:fill="FFFFFF" w:themeFill="background1"/>
            <w:vAlign w:val="center"/>
          </w:tcPr>
          <w:p w14:paraId="6C8EE3BA"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color w:val="000000"/>
                <w:kern w:val="24"/>
                <w:sz w:val="20"/>
                <w:szCs w:val="20"/>
                <w:lang w:eastAsia="es-CO"/>
              </w:rPr>
              <w:t>14</w:t>
            </w:r>
          </w:p>
        </w:tc>
        <w:tc>
          <w:tcPr>
            <w:tcW w:w="542" w:type="pct"/>
            <w:shd w:val="clear" w:color="auto" w:fill="FFFFFF" w:themeFill="background1"/>
            <w:tcMar>
              <w:top w:w="72" w:type="dxa"/>
              <w:left w:w="144" w:type="dxa"/>
              <w:bottom w:w="72" w:type="dxa"/>
              <w:right w:w="144" w:type="dxa"/>
            </w:tcMar>
            <w:vAlign w:val="center"/>
          </w:tcPr>
          <w:p w14:paraId="40C35A72"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color w:val="000000"/>
                <w:kern w:val="24"/>
                <w:sz w:val="20"/>
                <w:szCs w:val="20"/>
                <w:lang w:eastAsia="es-CO"/>
              </w:rPr>
              <w:t xml:space="preserve">Aras, A; </w:t>
            </w:r>
            <w:proofErr w:type="spellStart"/>
            <w:r w:rsidRPr="004936D2">
              <w:rPr>
                <w:rFonts w:ascii="Times New Roman" w:eastAsia="Times New Roman" w:hAnsi="Times New Roman" w:cs="Times New Roman"/>
                <w:color w:val="000000"/>
                <w:kern w:val="24"/>
                <w:sz w:val="20"/>
                <w:szCs w:val="20"/>
                <w:lang w:eastAsia="es-CO"/>
              </w:rPr>
              <w:t>Buyukozkan</w:t>
            </w:r>
            <w:proofErr w:type="spellEnd"/>
            <w:r w:rsidRPr="004936D2">
              <w:rPr>
                <w:rFonts w:ascii="Times New Roman" w:eastAsia="Times New Roman" w:hAnsi="Times New Roman" w:cs="Times New Roman"/>
                <w:color w:val="000000"/>
                <w:kern w:val="24"/>
                <w:sz w:val="20"/>
                <w:szCs w:val="20"/>
                <w:lang w:eastAsia="es-CO"/>
              </w:rPr>
              <w:t>, G</w:t>
            </w:r>
          </w:p>
        </w:tc>
        <w:tc>
          <w:tcPr>
            <w:tcW w:w="820" w:type="pct"/>
            <w:gridSpan w:val="2"/>
            <w:shd w:val="clear" w:color="auto" w:fill="FFFFFF" w:themeFill="background1"/>
            <w:tcMar>
              <w:top w:w="72" w:type="dxa"/>
              <w:left w:w="144" w:type="dxa"/>
              <w:bottom w:w="72" w:type="dxa"/>
              <w:right w:w="144" w:type="dxa"/>
            </w:tcMar>
            <w:vAlign w:val="center"/>
          </w:tcPr>
          <w:p w14:paraId="21719544"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Aptos" w:hAnsi="Times New Roman" w:cs="Times New Roman"/>
                <w:color w:val="000000"/>
                <w:kern w:val="24"/>
                <w:sz w:val="20"/>
                <w:szCs w:val="20"/>
                <w:lang w:val="en-US" w:eastAsia="es-CO"/>
              </w:rPr>
              <w:t>Digital strategy, digital value, digital processes, digital technology and data, digital work, digital governance.</w:t>
            </w:r>
          </w:p>
        </w:tc>
        <w:tc>
          <w:tcPr>
            <w:tcW w:w="660" w:type="pct"/>
            <w:shd w:val="clear" w:color="auto" w:fill="FFFFFF" w:themeFill="background1"/>
            <w:tcMar>
              <w:top w:w="72" w:type="dxa"/>
              <w:left w:w="144" w:type="dxa"/>
              <w:bottom w:w="72" w:type="dxa"/>
              <w:right w:w="144" w:type="dxa"/>
            </w:tcMar>
            <w:vAlign w:val="center"/>
          </w:tcPr>
          <w:p w14:paraId="1D7820FB"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Intention</w:t>
            </w:r>
            <w:proofErr w:type="spellEnd"/>
            <w:r w:rsidRPr="004936D2">
              <w:rPr>
                <w:rFonts w:ascii="Times New Roman" w:eastAsia="Times New Roman" w:hAnsi="Times New Roman" w:cs="Times New Roman"/>
                <w:sz w:val="20"/>
                <w:szCs w:val="20"/>
                <w:lang w:eastAsia="es-CO"/>
              </w:rPr>
              <w:t xml:space="preserve">, </w:t>
            </w:r>
            <w:proofErr w:type="spellStart"/>
            <w:r w:rsidRPr="004936D2">
              <w:rPr>
                <w:rFonts w:ascii="Times New Roman" w:eastAsia="Times New Roman" w:hAnsi="Times New Roman" w:cs="Times New Roman"/>
                <w:sz w:val="20"/>
                <w:szCs w:val="20"/>
                <w:lang w:eastAsia="es-CO"/>
              </w:rPr>
              <w:t>beginner</w:t>
            </w:r>
            <w:proofErr w:type="spellEnd"/>
            <w:r w:rsidRPr="004936D2">
              <w:rPr>
                <w:rFonts w:ascii="Times New Roman" w:eastAsia="Times New Roman" w:hAnsi="Times New Roman" w:cs="Times New Roman"/>
                <w:sz w:val="20"/>
                <w:szCs w:val="20"/>
                <w:lang w:eastAsia="es-CO"/>
              </w:rPr>
              <w:t xml:space="preserve">, </w:t>
            </w:r>
            <w:proofErr w:type="spellStart"/>
            <w:r w:rsidRPr="004936D2">
              <w:rPr>
                <w:rFonts w:ascii="Times New Roman" w:eastAsia="Times New Roman" w:hAnsi="Times New Roman" w:cs="Times New Roman"/>
                <w:sz w:val="20"/>
                <w:szCs w:val="20"/>
                <w:lang w:eastAsia="es-CO"/>
              </w:rPr>
              <w:t>adaptation</w:t>
            </w:r>
            <w:proofErr w:type="spellEnd"/>
            <w:r w:rsidRPr="004936D2">
              <w:rPr>
                <w:rFonts w:ascii="Times New Roman" w:eastAsia="Times New Roman" w:hAnsi="Times New Roman" w:cs="Times New Roman"/>
                <w:sz w:val="20"/>
                <w:szCs w:val="20"/>
                <w:lang w:eastAsia="es-CO"/>
              </w:rPr>
              <w:t xml:space="preserve">, </w:t>
            </w:r>
            <w:proofErr w:type="spellStart"/>
            <w:r w:rsidRPr="004936D2">
              <w:rPr>
                <w:rFonts w:ascii="Times New Roman" w:eastAsia="Times New Roman" w:hAnsi="Times New Roman" w:cs="Times New Roman"/>
                <w:sz w:val="20"/>
                <w:szCs w:val="20"/>
                <w:lang w:eastAsia="es-CO"/>
              </w:rPr>
              <w:t>performer</w:t>
            </w:r>
            <w:proofErr w:type="spellEnd"/>
            <w:r w:rsidRPr="004936D2">
              <w:rPr>
                <w:rFonts w:ascii="Times New Roman" w:eastAsia="Times New Roman" w:hAnsi="Times New Roman" w:cs="Times New Roman"/>
                <w:sz w:val="20"/>
                <w:szCs w:val="20"/>
                <w:lang w:eastAsia="es-CO"/>
              </w:rPr>
              <w:t xml:space="preserve">, </w:t>
            </w:r>
            <w:proofErr w:type="spellStart"/>
            <w:r w:rsidRPr="004936D2">
              <w:rPr>
                <w:rFonts w:ascii="Times New Roman" w:eastAsia="Times New Roman" w:hAnsi="Times New Roman" w:cs="Times New Roman"/>
                <w:sz w:val="20"/>
                <w:szCs w:val="20"/>
                <w:lang w:eastAsia="es-CO"/>
              </w:rPr>
              <w:t>transformer</w:t>
            </w:r>
            <w:proofErr w:type="spellEnd"/>
          </w:p>
          <w:p w14:paraId="2495F768"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
        </w:tc>
        <w:tc>
          <w:tcPr>
            <w:tcW w:w="985" w:type="pct"/>
            <w:shd w:val="clear" w:color="auto" w:fill="FFFFFF" w:themeFill="background1"/>
            <w:tcMar>
              <w:top w:w="72" w:type="dxa"/>
              <w:left w:w="144" w:type="dxa"/>
              <w:bottom w:w="72" w:type="dxa"/>
              <w:right w:w="144" w:type="dxa"/>
            </w:tcMar>
            <w:vAlign w:val="center"/>
          </w:tcPr>
          <w:p w14:paraId="2841096E"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Aptos" w:hAnsi="Times New Roman" w:cs="Times New Roman"/>
                <w:color w:val="000000"/>
                <w:sz w:val="20"/>
                <w:szCs w:val="20"/>
                <w:lang w:val="en-US" w:eastAsia="es-CO"/>
              </w:rPr>
              <w:t>Offer a comprehensive guide that covers everything from strategy to governance, helping organizations identify gaps, formulate specific strategies and actions to advance their digital maturity, and create roadmaps aligned with their strategic objectives.</w:t>
            </w:r>
          </w:p>
        </w:tc>
        <w:tc>
          <w:tcPr>
            <w:tcW w:w="890" w:type="pct"/>
            <w:shd w:val="clear" w:color="auto" w:fill="FFFFFF" w:themeFill="background1"/>
            <w:tcMar>
              <w:top w:w="72" w:type="dxa"/>
              <w:left w:w="144" w:type="dxa"/>
              <w:bottom w:w="72" w:type="dxa"/>
              <w:right w:w="144" w:type="dxa"/>
            </w:tcMar>
            <w:vAlign w:val="center"/>
          </w:tcPr>
          <w:p w14:paraId="621380B9"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color w:val="000000"/>
                <w:kern w:val="24"/>
                <w:sz w:val="20"/>
                <w:szCs w:val="20"/>
                <w:lang w:val="en-US" w:eastAsia="es-CO"/>
              </w:rPr>
              <w:t xml:space="preserve">Absence of a MMD in </w:t>
            </w:r>
            <w:proofErr w:type="gramStart"/>
            <w:r w:rsidRPr="004936D2">
              <w:rPr>
                <w:rFonts w:ascii="Times New Roman" w:eastAsia="Times New Roman" w:hAnsi="Times New Roman" w:cs="Times New Roman"/>
                <w:color w:val="000000"/>
                <w:kern w:val="24"/>
                <w:sz w:val="20"/>
                <w:szCs w:val="20"/>
                <w:lang w:val="en-US" w:eastAsia="es-CO"/>
              </w:rPr>
              <w:t>the existing</w:t>
            </w:r>
            <w:proofErr w:type="gramEnd"/>
            <w:r w:rsidRPr="004936D2">
              <w:rPr>
                <w:rFonts w:ascii="Times New Roman" w:eastAsia="Times New Roman" w:hAnsi="Times New Roman" w:cs="Times New Roman"/>
                <w:color w:val="000000"/>
                <w:kern w:val="24"/>
                <w:sz w:val="20"/>
                <w:szCs w:val="20"/>
                <w:lang w:val="en-US" w:eastAsia="es-CO"/>
              </w:rPr>
              <w:t xml:space="preserve"> literature that is holistic and comprehensively addresses the digital transformation process.</w:t>
            </w:r>
          </w:p>
        </w:tc>
        <w:tc>
          <w:tcPr>
            <w:tcW w:w="467" w:type="pct"/>
            <w:shd w:val="clear" w:color="auto" w:fill="FFFFFF" w:themeFill="background1"/>
            <w:tcMar>
              <w:top w:w="72" w:type="dxa"/>
              <w:left w:w="144" w:type="dxa"/>
              <w:bottom w:w="72" w:type="dxa"/>
              <w:right w:w="144" w:type="dxa"/>
            </w:tcMar>
            <w:vAlign w:val="center"/>
          </w:tcPr>
          <w:p w14:paraId="213E2927"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w:t>
            </w:r>
          </w:p>
        </w:tc>
        <w:tc>
          <w:tcPr>
            <w:tcW w:w="493" w:type="pct"/>
            <w:shd w:val="clear" w:color="auto" w:fill="FFFFFF" w:themeFill="background1"/>
            <w:tcMar>
              <w:top w:w="72" w:type="dxa"/>
              <w:left w:w="144" w:type="dxa"/>
              <w:bottom w:w="72" w:type="dxa"/>
              <w:right w:w="144" w:type="dxa"/>
            </w:tcMar>
            <w:vAlign w:val="center"/>
          </w:tcPr>
          <w:p w14:paraId="68BD7EE1"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color w:val="000000"/>
                <w:kern w:val="24"/>
                <w:sz w:val="20"/>
                <w:szCs w:val="20"/>
                <w:lang w:eastAsia="es-CO"/>
              </w:rPr>
              <w:t>Quantitative</w:t>
            </w:r>
            <w:proofErr w:type="spellEnd"/>
          </w:p>
        </w:tc>
      </w:tr>
      <w:tr w:rsidR="004936D2" w:rsidRPr="004936D2" w14:paraId="39D524B0" w14:textId="77777777" w:rsidTr="00E85466">
        <w:trPr>
          <w:trHeight w:val="2665"/>
        </w:trPr>
        <w:tc>
          <w:tcPr>
            <w:tcW w:w="144" w:type="pct"/>
            <w:shd w:val="clear" w:color="auto" w:fill="FFFFFF" w:themeFill="background1"/>
            <w:vAlign w:val="center"/>
          </w:tcPr>
          <w:p w14:paraId="0B1966A7"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lastRenderedPageBreak/>
              <w:t>15</w:t>
            </w:r>
          </w:p>
        </w:tc>
        <w:tc>
          <w:tcPr>
            <w:tcW w:w="542" w:type="pct"/>
            <w:shd w:val="clear" w:color="auto" w:fill="FFFFFF" w:themeFill="background1"/>
            <w:tcMar>
              <w:top w:w="72" w:type="dxa"/>
              <w:left w:w="144" w:type="dxa"/>
              <w:bottom w:w="72" w:type="dxa"/>
              <w:right w:w="144" w:type="dxa"/>
            </w:tcMar>
            <w:vAlign w:val="center"/>
          </w:tcPr>
          <w:p w14:paraId="6883DD59" w14:textId="77777777" w:rsidR="004936D2" w:rsidRPr="004936D2" w:rsidRDefault="004936D2" w:rsidP="00E85466">
            <w:pPr>
              <w:jc w:val="center"/>
              <w:rPr>
                <w:rFonts w:ascii="Times New Roman" w:eastAsia="Aptos" w:hAnsi="Times New Roman" w:cs="Times New Roman"/>
                <w:sz w:val="20"/>
                <w:szCs w:val="20"/>
              </w:rPr>
            </w:pPr>
            <w:proofErr w:type="spellStart"/>
            <w:r w:rsidRPr="004936D2">
              <w:rPr>
                <w:rFonts w:ascii="Times New Roman" w:eastAsia="Aptos" w:hAnsi="Times New Roman" w:cs="Times New Roman"/>
                <w:sz w:val="20"/>
                <w:szCs w:val="20"/>
              </w:rPr>
              <w:t>Nebati</w:t>
            </w:r>
            <w:proofErr w:type="spellEnd"/>
            <w:r w:rsidRPr="004936D2">
              <w:rPr>
                <w:rFonts w:ascii="Times New Roman" w:eastAsia="Aptos" w:hAnsi="Times New Roman" w:cs="Times New Roman"/>
                <w:sz w:val="20"/>
                <w:szCs w:val="20"/>
              </w:rPr>
              <w:t xml:space="preserve">, EE; </w:t>
            </w:r>
            <w:proofErr w:type="spellStart"/>
            <w:r w:rsidRPr="004936D2">
              <w:rPr>
                <w:rFonts w:ascii="Times New Roman" w:eastAsia="Aptos" w:hAnsi="Times New Roman" w:cs="Times New Roman"/>
                <w:sz w:val="20"/>
                <w:szCs w:val="20"/>
              </w:rPr>
              <w:t>Ayvaz</w:t>
            </w:r>
            <w:proofErr w:type="spellEnd"/>
            <w:r w:rsidRPr="004936D2">
              <w:rPr>
                <w:rFonts w:ascii="Times New Roman" w:eastAsia="Aptos" w:hAnsi="Times New Roman" w:cs="Times New Roman"/>
                <w:sz w:val="20"/>
                <w:szCs w:val="20"/>
              </w:rPr>
              <w:t xml:space="preserve">, B; </w:t>
            </w:r>
            <w:proofErr w:type="spellStart"/>
            <w:r w:rsidRPr="004936D2">
              <w:rPr>
                <w:rFonts w:ascii="Times New Roman" w:eastAsia="Aptos" w:hAnsi="Times New Roman" w:cs="Times New Roman"/>
                <w:sz w:val="20"/>
                <w:szCs w:val="20"/>
              </w:rPr>
              <w:t>Kusakci</w:t>
            </w:r>
            <w:proofErr w:type="spellEnd"/>
            <w:r w:rsidRPr="004936D2">
              <w:rPr>
                <w:rFonts w:ascii="Times New Roman" w:eastAsia="Aptos" w:hAnsi="Times New Roman" w:cs="Times New Roman"/>
                <w:sz w:val="20"/>
                <w:szCs w:val="20"/>
              </w:rPr>
              <w:t>, A.O.</w:t>
            </w:r>
          </w:p>
          <w:p w14:paraId="25CF8084"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
        </w:tc>
        <w:tc>
          <w:tcPr>
            <w:tcW w:w="820" w:type="pct"/>
            <w:gridSpan w:val="2"/>
            <w:shd w:val="clear" w:color="auto" w:fill="FFFFFF" w:themeFill="background1"/>
            <w:tcMar>
              <w:top w:w="72" w:type="dxa"/>
              <w:left w:w="144" w:type="dxa"/>
              <w:bottom w:w="72" w:type="dxa"/>
              <w:right w:w="144" w:type="dxa"/>
            </w:tcMar>
            <w:vAlign w:val="center"/>
          </w:tcPr>
          <w:p w14:paraId="248211FC"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Leadership, technology, strategy, operations, culture and digital organization.</w:t>
            </w:r>
          </w:p>
          <w:p w14:paraId="2CF8B5B5"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p>
        </w:tc>
        <w:tc>
          <w:tcPr>
            <w:tcW w:w="660" w:type="pct"/>
            <w:shd w:val="clear" w:color="auto" w:fill="FFFFFF" w:themeFill="background1"/>
            <w:tcMar>
              <w:top w:w="72" w:type="dxa"/>
              <w:left w:w="144" w:type="dxa"/>
              <w:bottom w:w="72" w:type="dxa"/>
              <w:right w:w="144" w:type="dxa"/>
            </w:tcMar>
            <w:vAlign w:val="center"/>
          </w:tcPr>
          <w:p w14:paraId="5C5FAD54"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w:t>
            </w:r>
          </w:p>
        </w:tc>
        <w:tc>
          <w:tcPr>
            <w:tcW w:w="985" w:type="pct"/>
            <w:shd w:val="clear" w:color="auto" w:fill="FFFFFF" w:themeFill="background1"/>
            <w:tcMar>
              <w:top w:w="72" w:type="dxa"/>
              <w:left w:w="144" w:type="dxa"/>
              <w:bottom w:w="72" w:type="dxa"/>
              <w:right w:w="144" w:type="dxa"/>
            </w:tcMar>
            <w:vAlign w:val="center"/>
          </w:tcPr>
          <w:p w14:paraId="5D8961C8"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Evaluate the level of digitalization of the defense industry and create a roadmap to improve its processes and systems</w:t>
            </w:r>
          </w:p>
          <w:p w14:paraId="7A790F91"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p>
        </w:tc>
        <w:tc>
          <w:tcPr>
            <w:tcW w:w="890" w:type="pct"/>
            <w:shd w:val="clear" w:color="auto" w:fill="FFFFFF" w:themeFill="background1"/>
            <w:tcMar>
              <w:top w:w="72" w:type="dxa"/>
              <w:left w:w="144" w:type="dxa"/>
              <w:bottom w:w="72" w:type="dxa"/>
              <w:right w:w="144" w:type="dxa"/>
            </w:tcMar>
            <w:vAlign w:val="center"/>
          </w:tcPr>
          <w:p w14:paraId="11572CAF"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w:t>
            </w:r>
          </w:p>
        </w:tc>
        <w:tc>
          <w:tcPr>
            <w:tcW w:w="467" w:type="pct"/>
            <w:shd w:val="clear" w:color="auto" w:fill="FFFFFF" w:themeFill="background1"/>
            <w:tcMar>
              <w:top w:w="72" w:type="dxa"/>
              <w:left w:w="144" w:type="dxa"/>
              <w:bottom w:w="72" w:type="dxa"/>
              <w:right w:w="144" w:type="dxa"/>
            </w:tcMar>
            <w:vAlign w:val="center"/>
          </w:tcPr>
          <w:p w14:paraId="5859E48E"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w:t>
            </w:r>
          </w:p>
        </w:tc>
        <w:tc>
          <w:tcPr>
            <w:tcW w:w="493" w:type="pct"/>
            <w:shd w:val="clear" w:color="auto" w:fill="FFFFFF" w:themeFill="background1"/>
            <w:tcMar>
              <w:top w:w="72" w:type="dxa"/>
              <w:left w:w="144" w:type="dxa"/>
              <w:bottom w:w="72" w:type="dxa"/>
              <w:right w:w="144" w:type="dxa"/>
            </w:tcMar>
            <w:vAlign w:val="center"/>
          </w:tcPr>
          <w:p w14:paraId="0BA1F128"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Qualitative</w:t>
            </w:r>
            <w:proofErr w:type="spellEnd"/>
            <w:r w:rsidRPr="004936D2">
              <w:rPr>
                <w:rFonts w:ascii="Times New Roman" w:eastAsia="Times New Roman" w:hAnsi="Times New Roman" w:cs="Times New Roman"/>
                <w:sz w:val="20"/>
                <w:szCs w:val="20"/>
                <w:lang w:eastAsia="es-CO"/>
              </w:rPr>
              <w:t xml:space="preserve"> and </w:t>
            </w:r>
            <w:proofErr w:type="spellStart"/>
            <w:r w:rsidRPr="004936D2">
              <w:rPr>
                <w:rFonts w:ascii="Times New Roman" w:eastAsia="Times New Roman" w:hAnsi="Times New Roman" w:cs="Times New Roman"/>
                <w:sz w:val="20"/>
                <w:szCs w:val="20"/>
                <w:lang w:eastAsia="es-CO"/>
              </w:rPr>
              <w:t>quantitative</w:t>
            </w:r>
            <w:proofErr w:type="spellEnd"/>
          </w:p>
          <w:p w14:paraId="5EAD4FA4"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
        </w:tc>
      </w:tr>
      <w:tr w:rsidR="004936D2" w:rsidRPr="004936D2" w14:paraId="4DC73FE4" w14:textId="77777777" w:rsidTr="00E85466">
        <w:trPr>
          <w:trHeight w:val="584"/>
        </w:trPr>
        <w:tc>
          <w:tcPr>
            <w:tcW w:w="144" w:type="pct"/>
            <w:shd w:val="clear" w:color="auto" w:fill="FFFFFF" w:themeFill="background1"/>
            <w:vAlign w:val="center"/>
          </w:tcPr>
          <w:p w14:paraId="40ED532C"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16</w:t>
            </w:r>
          </w:p>
        </w:tc>
        <w:tc>
          <w:tcPr>
            <w:tcW w:w="542" w:type="pct"/>
            <w:shd w:val="clear" w:color="auto" w:fill="FFFFFF" w:themeFill="background1"/>
            <w:tcMar>
              <w:top w:w="72" w:type="dxa"/>
              <w:left w:w="144" w:type="dxa"/>
              <w:bottom w:w="72" w:type="dxa"/>
              <w:right w:w="144" w:type="dxa"/>
            </w:tcMar>
            <w:vAlign w:val="center"/>
          </w:tcPr>
          <w:p w14:paraId="6B9C93A7"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Kupilas</w:t>
            </w:r>
            <w:proofErr w:type="spellEnd"/>
            <w:r w:rsidRPr="004936D2">
              <w:rPr>
                <w:rFonts w:ascii="Times New Roman" w:eastAsia="Times New Roman" w:hAnsi="Times New Roman" w:cs="Times New Roman"/>
                <w:sz w:val="20"/>
                <w:szCs w:val="20"/>
                <w:lang w:eastAsia="es-CO"/>
              </w:rPr>
              <w:t>, KJ; Rodríguez, MV; Diaz, PM; Alonso, AC</w:t>
            </w:r>
          </w:p>
          <w:p w14:paraId="70D9513F"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
        </w:tc>
        <w:tc>
          <w:tcPr>
            <w:tcW w:w="820" w:type="pct"/>
            <w:gridSpan w:val="2"/>
            <w:shd w:val="clear" w:color="auto" w:fill="FFFFFF" w:themeFill="background1"/>
            <w:tcMar>
              <w:top w:w="72" w:type="dxa"/>
              <w:left w:w="144" w:type="dxa"/>
              <w:bottom w:w="72" w:type="dxa"/>
              <w:right w:w="144" w:type="dxa"/>
            </w:tcMar>
            <w:vAlign w:val="center"/>
          </w:tcPr>
          <w:p w14:paraId="5C0EC729"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Smart operations and research, people, sustainability, strategy and organization, smart facilities, and smart products and services.</w:t>
            </w:r>
          </w:p>
        </w:tc>
        <w:tc>
          <w:tcPr>
            <w:tcW w:w="660" w:type="pct"/>
            <w:shd w:val="clear" w:color="auto" w:fill="FFFFFF" w:themeFill="background1"/>
            <w:tcMar>
              <w:top w:w="72" w:type="dxa"/>
              <w:left w:w="144" w:type="dxa"/>
              <w:bottom w:w="72" w:type="dxa"/>
              <w:right w:w="144" w:type="dxa"/>
            </w:tcMar>
            <w:vAlign w:val="center"/>
          </w:tcPr>
          <w:p w14:paraId="3DFB51AD"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w:t>
            </w:r>
          </w:p>
        </w:tc>
        <w:tc>
          <w:tcPr>
            <w:tcW w:w="985" w:type="pct"/>
            <w:shd w:val="clear" w:color="auto" w:fill="FFFFFF" w:themeFill="background1"/>
            <w:tcMar>
              <w:top w:w="72" w:type="dxa"/>
              <w:left w:w="144" w:type="dxa"/>
              <w:bottom w:w="72" w:type="dxa"/>
              <w:right w:w="144" w:type="dxa"/>
            </w:tcMar>
            <w:vAlign w:val="center"/>
          </w:tcPr>
          <w:p w14:paraId="6D793542"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w:t>
            </w:r>
          </w:p>
        </w:tc>
        <w:tc>
          <w:tcPr>
            <w:tcW w:w="890" w:type="pct"/>
            <w:shd w:val="clear" w:color="auto" w:fill="FFFFFF" w:themeFill="background1"/>
            <w:tcMar>
              <w:top w:w="72" w:type="dxa"/>
              <w:left w:w="144" w:type="dxa"/>
              <w:bottom w:w="72" w:type="dxa"/>
              <w:right w:w="144" w:type="dxa"/>
            </w:tcMar>
            <w:vAlign w:val="center"/>
          </w:tcPr>
          <w:p w14:paraId="5DFD15E4"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
          <w:p w14:paraId="513DC1D7" w14:textId="77777777" w:rsidR="004936D2" w:rsidRPr="004936D2" w:rsidRDefault="004936D2" w:rsidP="00E85466">
            <w:pPr>
              <w:jc w:val="center"/>
              <w:rPr>
                <w:rFonts w:ascii="Times New Roman" w:eastAsia="Times New Roman" w:hAnsi="Times New Roman" w:cs="Times New Roman"/>
                <w:sz w:val="20"/>
                <w:szCs w:val="20"/>
                <w:lang w:eastAsia="es-CO"/>
              </w:rPr>
            </w:pPr>
          </w:p>
          <w:p w14:paraId="4942322B" w14:textId="77777777" w:rsidR="004936D2" w:rsidRPr="004936D2" w:rsidRDefault="004936D2" w:rsidP="00E85466">
            <w:pPr>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w:t>
            </w:r>
          </w:p>
          <w:p w14:paraId="0B8B6607" w14:textId="77777777" w:rsidR="004936D2" w:rsidRPr="004936D2" w:rsidRDefault="004936D2" w:rsidP="00E85466">
            <w:pPr>
              <w:jc w:val="center"/>
              <w:rPr>
                <w:rFonts w:ascii="Times New Roman" w:eastAsia="Times New Roman" w:hAnsi="Times New Roman" w:cs="Times New Roman"/>
                <w:sz w:val="20"/>
                <w:szCs w:val="20"/>
                <w:vertAlign w:val="superscript"/>
                <w:lang w:eastAsia="es-CO"/>
              </w:rPr>
            </w:pPr>
          </w:p>
          <w:p w14:paraId="7DD5DC2D"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
        </w:tc>
        <w:tc>
          <w:tcPr>
            <w:tcW w:w="467" w:type="pct"/>
            <w:shd w:val="clear" w:color="auto" w:fill="FFFFFF" w:themeFill="background1"/>
            <w:tcMar>
              <w:top w:w="72" w:type="dxa"/>
              <w:left w:w="144" w:type="dxa"/>
              <w:bottom w:w="72" w:type="dxa"/>
              <w:right w:w="144" w:type="dxa"/>
            </w:tcMar>
            <w:vAlign w:val="center"/>
          </w:tcPr>
          <w:p w14:paraId="106CAF0D"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w:t>
            </w:r>
          </w:p>
        </w:tc>
        <w:tc>
          <w:tcPr>
            <w:tcW w:w="493" w:type="pct"/>
            <w:shd w:val="clear" w:color="auto" w:fill="FFFFFF" w:themeFill="background1"/>
            <w:tcMar>
              <w:top w:w="72" w:type="dxa"/>
              <w:left w:w="144" w:type="dxa"/>
              <w:bottom w:w="72" w:type="dxa"/>
              <w:right w:w="144" w:type="dxa"/>
            </w:tcMar>
            <w:vAlign w:val="center"/>
          </w:tcPr>
          <w:p w14:paraId="34842D36"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Qualitative</w:t>
            </w:r>
            <w:proofErr w:type="spellEnd"/>
          </w:p>
        </w:tc>
      </w:tr>
      <w:tr w:rsidR="004936D2" w:rsidRPr="004936D2" w14:paraId="75EA9B1F" w14:textId="77777777" w:rsidTr="00E85466">
        <w:trPr>
          <w:trHeight w:val="584"/>
        </w:trPr>
        <w:tc>
          <w:tcPr>
            <w:tcW w:w="144" w:type="pct"/>
            <w:shd w:val="clear" w:color="auto" w:fill="FFFFFF" w:themeFill="background1"/>
            <w:vAlign w:val="center"/>
          </w:tcPr>
          <w:p w14:paraId="6FEAEE68"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17</w:t>
            </w:r>
          </w:p>
        </w:tc>
        <w:tc>
          <w:tcPr>
            <w:tcW w:w="542" w:type="pct"/>
            <w:shd w:val="clear" w:color="auto" w:fill="FFFFFF" w:themeFill="background1"/>
            <w:tcMar>
              <w:top w:w="72" w:type="dxa"/>
              <w:left w:w="144" w:type="dxa"/>
              <w:bottom w:w="72" w:type="dxa"/>
              <w:right w:w="144" w:type="dxa"/>
            </w:tcMar>
            <w:vAlign w:val="center"/>
          </w:tcPr>
          <w:p w14:paraId="22C91128"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Gökalp</w:t>
            </w:r>
            <w:proofErr w:type="spellEnd"/>
            <w:r w:rsidRPr="004936D2">
              <w:rPr>
                <w:rFonts w:ascii="Times New Roman" w:eastAsia="Times New Roman" w:hAnsi="Times New Roman" w:cs="Times New Roman"/>
                <w:sz w:val="20"/>
                <w:szCs w:val="20"/>
                <w:lang w:eastAsia="es-CO"/>
              </w:rPr>
              <w:t xml:space="preserve">, E; </w:t>
            </w:r>
            <w:proofErr w:type="spellStart"/>
            <w:r w:rsidRPr="004936D2">
              <w:rPr>
                <w:rFonts w:ascii="Times New Roman" w:eastAsia="Times New Roman" w:hAnsi="Times New Roman" w:cs="Times New Roman"/>
                <w:sz w:val="20"/>
                <w:szCs w:val="20"/>
                <w:lang w:eastAsia="es-CO"/>
              </w:rPr>
              <w:t>Martinez</w:t>
            </w:r>
            <w:proofErr w:type="spellEnd"/>
            <w:r w:rsidRPr="004936D2">
              <w:rPr>
                <w:rFonts w:ascii="Times New Roman" w:eastAsia="Times New Roman" w:hAnsi="Times New Roman" w:cs="Times New Roman"/>
                <w:sz w:val="20"/>
                <w:szCs w:val="20"/>
                <w:lang w:eastAsia="es-CO"/>
              </w:rPr>
              <w:t>, V</w:t>
            </w:r>
          </w:p>
          <w:p w14:paraId="16A3EB4C"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
        </w:tc>
        <w:tc>
          <w:tcPr>
            <w:tcW w:w="820" w:type="pct"/>
            <w:gridSpan w:val="2"/>
            <w:shd w:val="clear" w:color="auto" w:fill="FFFFFF" w:themeFill="background1"/>
            <w:tcMar>
              <w:top w:w="72" w:type="dxa"/>
              <w:left w:w="144" w:type="dxa"/>
              <w:bottom w:w="72" w:type="dxa"/>
              <w:right w:w="144" w:type="dxa"/>
            </w:tcMar>
            <w:vAlign w:val="center"/>
          </w:tcPr>
          <w:p w14:paraId="29868C31"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Strategic governance,</w:t>
            </w:r>
          </w:p>
          <w:p w14:paraId="29BCF584"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Information and technology, digital process transformation, personnel administration</w:t>
            </w:r>
          </w:p>
        </w:tc>
        <w:tc>
          <w:tcPr>
            <w:tcW w:w="660" w:type="pct"/>
            <w:shd w:val="clear" w:color="auto" w:fill="FFFFFF" w:themeFill="background1"/>
            <w:tcMar>
              <w:top w:w="72" w:type="dxa"/>
              <w:left w:w="144" w:type="dxa"/>
              <w:bottom w:w="72" w:type="dxa"/>
              <w:right w:w="144" w:type="dxa"/>
            </w:tcMar>
            <w:vAlign w:val="center"/>
          </w:tcPr>
          <w:p w14:paraId="512387E4"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Incomplete, completed, managed,</w:t>
            </w:r>
          </w:p>
          <w:p w14:paraId="5B2125D8"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established,</w:t>
            </w:r>
          </w:p>
          <w:p w14:paraId="21B5BE84"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 xml:space="preserve">predictable, </w:t>
            </w:r>
            <w:proofErr w:type="gramStart"/>
            <w:r w:rsidRPr="004936D2">
              <w:rPr>
                <w:rFonts w:ascii="Times New Roman" w:eastAsia="Times New Roman" w:hAnsi="Times New Roman" w:cs="Times New Roman"/>
                <w:sz w:val="20"/>
                <w:szCs w:val="20"/>
                <w:lang w:val="en-US" w:eastAsia="es-CO"/>
              </w:rPr>
              <w:t>innovating</w:t>
            </w:r>
            <w:proofErr w:type="gramEnd"/>
          </w:p>
          <w:p w14:paraId="545A88C5"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p>
        </w:tc>
        <w:tc>
          <w:tcPr>
            <w:tcW w:w="985" w:type="pct"/>
            <w:shd w:val="clear" w:color="auto" w:fill="FFFFFF" w:themeFill="background1"/>
            <w:tcMar>
              <w:top w:w="72" w:type="dxa"/>
              <w:left w:w="144" w:type="dxa"/>
              <w:bottom w:w="72" w:type="dxa"/>
              <w:right w:w="144" w:type="dxa"/>
            </w:tcMar>
            <w:vAlign w:val="center"/>
          </w:tcPr>
          <w:p w14:paraId="303DDDF6"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Establish a clear roadmap for digital transformation</w:t>
            </w:r>
          </w:p>
          <w:p w14:paraId="5078EB86"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p>
        </w:tc>
        <w:tc>
          <w:tcPr>
            <w:tcW w:w="890" w:type="pct"/>
            <w:shd w:val="clear" w:color="auto" w:fill="FFFFFF" w:themeFill="background1"/>
            <w:tcMar>
              <w:top w:w="72" w:type="dxa"/>
              <w:left w:w="144" w:type="dxa"/>
              <w:bottom w:w="72" w:type="dxa"/>
              <w:right w:w="144" w:type="dxa"/>
            </w:tcMar>
            <w:vAlign w:val="center"/>
          </w:tcPr>
          <w:p w14:paraId="49F0669F"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w:t>
            </w:r>
          </w:p>
        </w:tc>
        <w:tc>
          <w:tcPr>
            <w:tcW w:w="467" w:type="pct"/>
            <w:shd w:val="clear" w:color="auto" w:fill="FFFFFF" w:themeFill="background1"/>
            <w:tcMar>
              <w:top w:w="72" w:type="dxa"/>
              <w:left w:w="144" w:type="dxa"/>
              <w:bottom w:w="72" w:type="dxa"/>
              <w:right w:w="144" w:type="dxa"/>
            </w:tcMar>
            <w:vAlign w:val="center"/>
          </w:tcPr>
          <w:p w14:paraId="269DADAA"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w:t>
            </w:r>
          </w:p>
        </w:tc>
        <w:tc>
          <w:tcPr>
            <w:tcW w:w="493" w:type="pct"/>
            <w:shd w:val="clear" w:color="auto" w:fill="FFFFFF" w:themeFill="background1"/>
            <w:tcMar>
              <w:top w:w="72" w:type="dxa"/>
              <w:left w:w="144" w:type="dxa"/>
              <w:bottom w:w="72" w:type="dxa"/>
              <w:right w:w="144" w:type="dxa"/>
            </w:tcMar>
            <w:vAlign w:val="center"/>
          </w:tcPr>
          <w:p w14:paraId="0A1C2CAD"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Qualitative</w:t>
            </w:r>
            <w:proofErr w:type="spellEnd"/>
          </w:p>
        </w:tc>
      </w:tr>
      <w:tr w:rsidR="004936D2" w:rsidRPr="004936D2" w14:paraId="0E9C30AC" w14:textId="77777777" w:rsidTr="00E85466">
        <w:trPr>
          <w:trHeight w:val="584"/>
        </w:trPr>
        <w:tc>
          <w:tcPr>
            <w:tcW w:w="144" w:type="pct"/>
            <w:shd w:val="clear" w:color="auto" w:fill="FFFFFF" w:themeFill="background1"/>
            <w:vAlign w:val="center"/>
          </w:tcPr>
          <w:p w14:paraId="444DEFE5"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lastRenderedPageBreak/>
              <w:t>18</w:t>
            </w:r>
          </w:p>
        </w:tc>
        <w:tc>
          <w:tcPr>
            <w:tcW w:w="542" w:type="pct"/>
            <w:shd w:val="clear" w:color="auto" w:fill="FFFFFF" w:themeFill="background1"/>
            <w:tcMar>
              <w:top w:w="72" w:type="dxa"/>
              <w:left w:w="144" w:type="dxa"/>
              <w:bottom w:w="72" w:type="dxa"/>
              <w:right w:w="144" w:type="dxa"/>
            </w:tcMar>
            <w:vAlign w:val="center"/>
          </w:tcPr>
          <w:p w14:paraId="7CF8F2F0"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Senna, P; Barros, A; Bonnín, J; Azevedo, A.</w:t>
            </w:r>
          </w:p>
        </w:tc>
        <w:tc>
          <w:tcPr>
            <w:tcW w:w="820" w:type="pct"/>
            <w:gridSpan w:val="2"/>
            <w:shd w:val="clear" w:color="auto" w:fill="FFFFFF" w:themeFill="background1"/>
            <w:tcMar>
              <w:top w:w="72" w:type="dxa"/>
              <w:left w:w="144" w:type="dxa"/>
              <w:bottom w:w="72" w:type="dxa"/>
              <w:right w:w="144" w:type="dxa"/>
            </w:tcMar>
            <w:vAlign w:val="center"/>
          </w:tcPr>
          <w:p w14:paraId="758CDDB7"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 xml:space="preserve">Three main dimensions </w:t>
            </w:r>
            <w:proofErr w:type="gramStart"/>
            <w:r w:rsidRPr="004936D2">
              <w:rPr>
                <w:rFonts w:ascii="Times New Roman" w:eastAsia="Times New Roman" w:hAnsi="Times New Roman" w:cs="Times New Roman"/>
                <w:sz w:val="20"/>
                <w:szCs w:val="20"/>
                <w:lang w:val="en-US" w:eastAsia="es-CO"/>
              </w:rPr>
              <w:t>based</w:t>
            </w:r>
            <w:proofErr w:type="gramEnd"/>
            <w:r w:rsidRPr="004936D2">
              <w:rPr>
                <w:rFonts w:ascii="Times New Roman" w:eastAsia="Times New Roman" w:hAnsi="Times New Roman" w:cs="Times New Roman"/>
                <w:sz w:val="20"/>
                <w:szCs w:val="20"/>
                <w:lang w:val="en-US" w:eastAsia="es-CO"/>
              </w:rPr>
              <w:t xml:space="preserve"> on the Technology-Organization-Environment (TOE) framework.</w:t>
            </w:r>
          </w:p>
        </w:tc>
        <w:tc>
          <w:tcPr>
            <w:tcW w:w="660" w:type="pct"/>
            <w:shd w:val="clear" w:color="auto" w:fill="FFFFFF" w:themeFill="background1"/>
            <w:tcMar>
              <w:top w:w="72" w:type="dxa"/>
              <w:left w:w="144" w:type="dxa"/>
              <w:bottom w:w="72" w:type="dxa"/>
              <w:right w:w="144" w:type="dxa"/>
            </w:tcMar>
            <w:vAlign w:val="center"/>
          </w:tcPr>
          <w:p w14:paraId="3822B17D"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Digitalization,</w:t>
            </w:r>
          </w:p>
          <w:p w14:paraId="25FFD391"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Definition of processes, integration of systems and progress towards industry 4.0</w:t>
            </w:r>
          </w:p>
        </w:tc>
        <w:tc>
          <w:tcPr>
            <w:tcW w:w="985" w:type="pct"/>
            <w:shd w:val="clear" w:color="auto" w:fill="FFFFFF" w:themeFill="background1"/>
            <w:tcMar>
              <w:top w:w="72" w:type="dxa"/>
              <w:left w:w="144" w:type="dxa"/>
              <w:bottom w:w="72" w:type="dxa"/>
              <w:right w:w="144" w:type="dxa"/>
            </w:tcMar>
            <w:vAlign w:val="center"/>
          </w:tcPr>
          <w:p w14:paraId="62641C45"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To develop a generalizable and empirically validated model of digital maturity for manufacturing industries in the context of Industry 4.0, overcoming limitations of previous models and providing a robust and theoretically grounded tool to assess digital maturity.</w:t>
            </w:r>
          </w:p>
        </w:tc>
        <w:tc>
          <w:tcPr>
            <w:tcW w:w="890" w:type="pct"/>
            <w:shd w:val="clear" w:color="auto" w:fill="FFFFFF" w:themeFill="background1"/>
            <w:tcMar>
              <w:top w:w="72" w:type="dxa"/>
              <w:left w:w="144" w:type="dxa"/>
              <w:bottom w:w="72" w:type="dxa"/>
              <w:right w:w="144" w:type="dxa"/>
            </w:tcMar>
            <w:vAlign w:val="center"/>
          </w:tcPr>
          <w:p w14:paraId="359D5E8E"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The need for this model arises from the lack of generalization and theoretical foundation in existing models, and the need for an approach that adequately integrates the dimensions of technology, organization and environment.</w:t>
            </w:r>
          </w:p>
        </w:tc>
        <w:tc>
          <w:tcPr>
            <w:tcW w:w="467" w:type="pct"/>
            <w:shd w:val="clear" w:color="auto" w:fill="FFFFFF" w:themeFill="background1"/>
            <w:tcMar>
              <w:top w:w="72" w:type="dxa"/>
              <w:left w:w="144" w:type="dxa"/>
              <w:bottom w:w="72" w:type="dxa"/>
              <w:right w:w="144" w:type="dxa"/>
            </w:tcMar>
            <w:vAlign w:val="center"/>
          </w:tcPr>
          <w:p w14:paraId="71413F1B"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w:t>
            </w:r>
          </w:p>
        </w:tc>
        <w:tc>
          <w:tcPr>
            <w:tcW w:w="493" w:type="pct"/>
            <w:shd w:val="clear" w:color="auto" w:fill="FFFFFF" w:themeFill="background1"/>
            <w:tcMar>
              <w:top w:w="72" w:type="dxa"/>
              <w:left w:w="144" w:type="dxa"/>
              <w:bottom w:w="72" w:type="dxa"/>
              <w:right w:w="144" w:type="dxa"/>
            </w:tcMar>
            <w:vAlign w:val="center"/>
          </w:tcPr>
          <w:p w14:paraId="6F1EE09F"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Qualitative</w:t>
            </w:r>
            <w:proofErr w:type="spellEnd"/>
            <w:r w:rsidRPr="004936D2">
              <w:rPr>
                <w:rFonts w:ascii="Times New Roman" w:eastAsia="Times New Roman" w:hAnsi="Times New Roman" w:cs="Times New Roman"/>
                <w:sz w:val="20"/>
                <w:szCs w:val="20"/>
                <w:lang w:eastAsia="es-CO"/>
              </w:rPr>
              <w:t xml:space="preserve"> and </w:t>
            </w:r>
            <w:proofErr w:type="spellStart"/>
            <w:r w:rsidRPr="004936D2">
              <w:rPr>
                <w:rFonts w:ascii="Times New Roman" w:eastAsia="Times New Roman" w:hAnsi="Times New Roman" w:cs="Times New Roman"/>
                <w:sz w:val="20"/>
                <w:szCs w:val="20"/>
                <w:lang w:eastAsia="es-CO"/>
              </w:rPr>
              <w:t>quantitative</w:t>
            </w:r>
            <w:proofErr w:type="spellEnd"/>
          </w:p>
        </w:tc>
      </w:tr>
      <w:tr w:rsidR="004936D2" w:rsidRPr="004936D2" w14:paraId="60FEFA3D" w14:textId="77777777" w:rsidTr="00E85466">
        <w:trPr>
          <w:trHeight w:val="584"/>
        </w:trPr>
        <w:tc>
          <w:tcPr>
            <w:tcW w:w="144" w:type="pct"/>
            <w:shd w:val="clear" w:color="auto" w:fill="FFFFFF" w:themeFill="background1"/>
            <w:vAlign w:val="center"/>
          </w:tcPr>
          <w:p w14:paraId="1903E22C"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19</w:t>
            </w:r>
          </w:p>
        </w:tc>
        <w:tc>
          <w:tcPr>
            <w:tcW w:w="542" w:type="pct"/>
            <w:shd w:val="clear" w:color="auto" w:fill="FFFFFF" w:themeFill="background1"/>
            <w:tcMar>
              <w:top w:w="72" w:type="dxa"/>
              <w:left w:w="144" w:type="dxa"/>
              <w:bottom w:w="72" w:type="dxa"/>
              <w:right w:w="144" w:type="dxa"/>
            </w:tcMar>
            <w:vAlign w:val="center"/>
          </w:tcPr>
          <w:p w14:paraId="4508617D"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proofErr w:type="spellStart"/>
            <w:r w:rsidRPr="004936D2">
              <w:rPr>
                <w:rFonts w:ascii="Times New Roman" w:eastAsia="Times New Roman" w:hAnsi="Times New Roman" w:cs="Times New Roman"/>
                <w:sz w:val="20"/>
                <w:szCs w:val="20"/>
                <w:lang w:val="en-US" w:eastAsia="es-CO"/>
              </w:rPr>
              <w:t>Ehrensperger</w:t>
            </w:r>
            <w:proofErr w:type="spellEnd"/>
            <w:r w:rsidRPr="004936D2">
              <w:rPr>
                <w:rFonts w:ascii="Times New Roman" w:eastAsia="Times New Roman" w:hAnsi="Times New Roman" w:cs="Times New Roman"/>
                <w:sz w:val="20"/>
                <w:szCs w:val="20"/>
                <w:lang w:val="en-US" w:eastAsia="es-CO"/>
              </w:rPr>
              <w:t>, R; Sauerwein, C; Breu, R.</w:t>
            </w:r>
          </w:p>
        </w:tc>
        <w:tc>
          <w:tcPr>
            <w:tcW w:w="820" w:type="pct"/>
            <w:gridSpan w:val="2"/>
            <w:shd w:val="clear" w:color="auto" w:fill="FFFFFF" w:themeFill="background1"/>
            <w:tcMar>
              <w:top w:w="72" w:type="dxa"/>
              <w:left w:w="144" w:type="dxa"/>
              <w:bottom w:w="72" w:type="dxa"/>
              <w:right w:w="144" w:type="dxa"/>
            </w:tcMar>
            <w:vAlign w:val="center"/>
          </w:tcPr>
          <w:p w14:paraId="6D90D864"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Transparency, governance, extensibility, cybersecurity, knowledge base, reusability, standardization.</w:t>
            </w:r>
          </w:p>
        </w:tc>
        <w:tc>
          <w:tcPr>
            <w:tcW w:w="660" w:type="pct"/>
            <w:shd w:val="clear" w:color="auto" w:fill="FFFFFF" w:themeFill="background1"/>
            <w:tcMar>
              <w:top w:w="72" w:type="dxa"/>
              <w:left w:w="144" w:type="dxa"/>
              <w:bottom w:w="72" w:type="dxa"/>
              <w:right w:w="144" w:type="dxa"/>
            </w:tcMar>
            <w:vAlign w:val="center"/>
          </w:tcPr>
          <w:p w14:paraId="68CA6851"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Initial, managed, defined, quantitatively managed and optimized.</w:t>
            </w:r>
          </w:p>
        </w:tc>
        <w:tc>
          <w:tcPr>
            <w:tcW w:w="985" w:type="pct"/>
            <w:shd w:val="clear" w:color="auto" w:fill="FFFFFF" w:themeFill="background1"/>
            <w:tcMar>
              <w:top w:w="72" w:type="dxa"/>
              <w:left w:w="144" w:type="dxa"/>
              <w:bottom w:w="72" w:type="dxa"/>
              <w:right w:w="144" w:type="dxa"/>
            </w:tcMar>
            <w:vAlign w:val="center"/>
          </w:tcPr>
          <w:p w14:paraId="3810CC29"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Develop and validate a maturity model that helps companies evaluate and improve their digital integration within business ecosystems, providing a tool to better understand their positioning and areas for improvement in a complex digital environment.</w:t>
            </w:r>
          </w:p>
        </w:tc>
        <w:tc>
          <w:tcPr>
            <w:tcW w:w="890" w:type="pct"/>
            <w:shd w:val="clear" w:color="auto" w:fill="FFFFFF" w:themeFill="background1"/>
            <w:tcMar>
              <w:top w:w="72" w:type="dxa"/>
              <w:left w:w="144" w:type="dxa"/>
              <w:bottom w:w="72" w:type="dxa"/>
              <w:right w:w="144" w:type="dxa"/>
            </w:tcMar>
            <w:vAlign w:val="center"/>
          </w:tcPr>
          <w:p w14:paraId="77750779"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The need for this model arises from the increasing importance of digital ecosystems in modern business competition and the lack of existing models that adequately focus on the IT dynamics within these ecosystems.</w:t>
            </w:r>
          </w:p>
        </w:tc>
        <w:tc>
          <w:tcPr>
            <w:tcW w:w="467" w:type="pct"/>
            <w:shd w:val="clear" w:color="auto" w:fill="FFFFFF" w:themeFill="background1"/>
            <w:tcMar>
              <w:top w:w="72" w:type="dxa"/>
              <w:left w:w="144" w:type="dxa"/>
              <w:bottom w:w="72" w:type="dxa"/>
              <w:right w:w="144" w:type="dxa"/>
            </w:tcMar>
            <w:vAlign w:val="center"/>
          </w:tcPr>
          <w:p w14:paraId="5FACB134"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w:t>
            </w:r>
          </w:p>
        </w:tc>
        <w:tc>
          <w:tcPr>
            <w:tcW w:w="493" w:type="pct"/>
            <w:shd w:val="clear" w:color="auto" w:fill="FFFFFF" w:themeFill="background1"/>
            <w:tcMar>
              <w:top w:w="72" w:type="dxa"/>
              <w:left w:w="144" w:type="dxa"/>
              <w:bottom w:w="72" w:type="dxa"/>
              <w:right w:w="144" w:type="dxa"/>
            </w:tcMar>
            <w:vAlign w:val="center"/>
          </w:tcPr>
          <w:p w14:paraId="7F1708A7"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Qualitative</w:t>
            </w:r>
            <w:proofErr w:type="spellEnd"/>
            <w:r w:rsidRPr="004936D2">
              <w:rPr>
                <w:rFonts w:ascii="Times New Roman" w:eastAsia="Times New Roman" w:hAnsi="Times New Roman" w:cs="Times New Roman"/>
                <w:sz w:val="20"/>
                <w:szCs w:val="20"/>
                <w:lang w:eastAsia="es-CO"/>
              </w:rPr>
              <w:t xml:space="preserve"> and </w:t>
            </w:r>
            <w:proofErr w:type="spellStart"/>
            <w:r w:rsidRPr="004936D2">
              <w:rPr>
                <w:rFonts w:ascii="Times New Roman" w:eastAsia="Times New Roman" w:hAnsi="Times New Roman" w:cs="Times New Roman"/>
                <w:sz w:val="20"/>
                <w:szCs w:val="20"/>
                <w:lang w:eastAsia="es-CO"/>
              </w:rPr>
              <w:t>quantitative</w:t>
            </w:r>
            <w:proofErr w:type="spellEnd"/>
          </w:p>
          <w:p w14:paraId="31B3FD08"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
        </w:tc>
      </w:tr>
      <w:tr w:rsidR="004936D2" w:rsidRPr="004936D2" w14:paraId="401747DE" w14:textId="77777777" w:rsidTr="00E85466">
        <w:trPr>
          <w:trHeight w:val="584"/>
        </w:trPr>
        <w:tc>
          <w:tcPr>
            <w:tcW w:w="144" w:type="pct"/>
            <w:shd w:val="clear" w:color="auto" w:fill="FFFFFF" w:themeFill="background1"/>
            <w:vAlign w:val="center"/>
          </w:tcPr>
          <w:p w14:paraId="30D2EA4D"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20</w:t>
            </w:r>
          </w:p>
        </w:tc>
        <w:tc>
          <w:tcPr>
            <w:tcW w:w="542" w:type="pct"/>
            <w:shd w:val="clear" w:color="auto" w:fill="FFFFFF" w:themeFill="background1"/>
            <w:tcMar>
              <w:top w:w="72" w:type="dxa"/>
              <w:left w:w="144" w:type="dxa"/>
              <w:bottom w:w="72" w:type="dxa"/>
              <w:right w:w="144" w:type="dxa"/>
            </w:tcMar>
            <w:vAlign w:val="center"/>
          </w:tcPr>
          <w:p w14:paraId="26735448"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Macedo, S; Dantas, R</w:t>
            </w:r>
          </w:p>
        </w:tc>
        <w:tc>
          <w:tcPr>
            <w:tcW w:w="820" w:type="pct"/>
            <w:gridSpan w:val="2"/>
            <w:shd w:val="clear" w:color="auto" w:fill="FFFFFF" w:themeFill="background1"/>
            <w:tcMar>
              <w:top w:w="72" w:type="dxa"/>
              <w:left w:w="144" w:type="dxa"/>
              <w:bottom w:w="72" w:type="dxa"/>
              <w:right w:w="144" w:type="dxa"/>
            </w:tcMar>
            <w:vAlign w:val="center"/>
          </w:tcPr>
          <w:p w14:paraId="31750C7F"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Products and services, manufacturing and operations, strategy and organization, supply chain, business model, legal considerations</w:t>
            </w:r>
          </w:p>
        </w:tc>
        <w:tc>
          <w:tcPr>
            <w:tcW w:w="660" w:type="pct"/>
            <w:shd w:val="clear" w:color="auto" w:fill="FFFFFF" w:themeFill="background1"/>
            <w:tcMar>
              <w:top w:w="72" w:type="dxa"/>
              <w:left w:w="144" w:type="dxa"/>
              <w:bottom w:w="72" w:type="dxa"/>
              <w:right w:w="144" w:type="dxa"/>
            </w:tcMar>
            <w:vAlign w:val="center"/>
          </w:tcPr>
          <w:p w14:paraId="726D42C5"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Beginner, intermediate, experienced and expert.</w:t>
            </w:r>
          </w:p>
        </w:tc>
        <w:tc>
          <w:tcPr>
            <w:tcW w:w="985" w:type="pct"/>
            <w:shd w:val="clear" w:color="auto" w:fill="FFFFFF" w:themeFill="background1"/>
            <w:tcMar>
              <w:top w:w="72" w:type="dxa"/>
              <w:left w:w="144" w:type="dxa"/>
              <w:bottom w:w="72" w:type="dxa"/>
              <w:right w:w="144" w:type="dxa"/>
            </w:tcMar>
            <w:vAlign w:val="center"/>
          </w:tcPr>
          <w:p w14:paraId="64A76937"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Explore how Industry 4.0-specific technology enhancements can increase the digital maturity of business processes, particularly in inventory management.</w:t>
            </w:r>
          </w:p>
        </w:tc>
        <w:tc>
          <w:tcPr>
            <w:tcW w:w="890" w:type="pct"/>
            <w:shd w:val="clear" w:color="auto" w:fill="FFFFFF" w:themeFill="background1"/>
            <w:tcMar>
              <w:top w:w="72" w:type="dxa"/>
              <w:left w:w="144" w:type="dxa"/>
              <w:bottom w:w="72" w:type="dxa"/>
              <w:right w:w="144" w:type="dxa"/>
            </w:tcMar>
            <w:vAlign w:val="center"/>
          </w:tcPr>
          <w:p w14:paraId="057C4152"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 xml:space="preserve">Importance of integrating new Industry 4.0 technologies to improve business processes, particularly inventory management, and thus increase competitiveness in the </w:t>
            </w:r>
            <w:r w:rsidRPr="004936D2">
              <w:rPr>
                <w:rFonts w:ascii="Times New Roman" w:eastAsia="Times New Roman" w:hAnsi="Times New Roman" w:cs="Times New Roman"/>
                <w:sz w:val="20"/>
                <w:szCs w:val="20"/>
                <w:lang w:val="en-US" w:eastAsia="es-CO"/>
              </w:rPr>
              <w:lastRenderedPageBreak/>
              <w:t>case of this beverage factory study.</w:t>
            </w:r>
          </w:p>
        </w:tc>
        <w:tc>
          <w:tcPr>
            <w:tcW w:w="467" w:type="pct"/>
            <w:shd w:val="clear" w:color="auto" w:fill="FFFFFF" w:themeFill="background1"/>
            <w:tcMar>
              <w:top w:w="72" w:type="dxa"/>
              <w:left w:w="144" w:type="dxa"/>
              <w:bottom w:w="72" w:type="dxa"/>
              <w:right w:w="144" w:type="dxa"/>
            </w:tcMar>
            <w:vAlign w:val="center"/>
          </w:tcPr>
          <w:p w14:paraId="0AE28E34"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lastRenderedPageBreak/>
              <w:t>-</w:t>
            </w:r>
          </w:p>
        </w:tc>
        <w:tc>
          <w:tcPr>
            <w:tcW w:w="493" w:type="pct"/>
            <w:shd w:val="clear" w:color="auto" w:fill="FFFFFF" w:themeFill="background1"/>
            <w:tcMar>
              <w:top w:w="72" w:type="dxa"/>
              <w:left w:w="144" w:type="dxa"/>
              <w:bottom w:w="72" w:type="dxa"/>
              <w:right w:w="144" w:type="dxa"/>
            </w:tcMar>
            <w:vAlign w:val="center"/>
          </w:tcPr>
          <w:p w14:paraId="30762933"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Qualitative</w:t>
            </w:r>
            <w:proofErr w:type="spellEnd"/>
            <w:r w:rsidRPr="004936D2">
              <w:rPr>
                <w:rFonts w:ascii="Times New Roman" w:eastAsia="Times New Roman" w:hAnsi="Times New Roman" w:cs="Times New Roman"/>
                <w:sz w:val="20"/>
                <w:szCs w:val="20"/>
                <w:lang w:eastAsia="es-CO"/>
              </w:rPr>
              <w:t xml:space="preserve"> and </w:t>
            </w:r>
            <w:proofErr w:type="spellStart"/>
            <w:r w:rsidRPr="004936D2">
              <w:rPr>
                <w:rFonts w:ascii="Times New Roman" w:eastAsia="Times New Roman" w:hAnsi="Times New Roman" w:cs="Times New Roman"/>
                <w:sz w:val="20"/>
                <w:szCs w:val="20"/>
                <w:lang w:eastAsia="es-CO"/>
              </w:rPr>
              <w:t>Quantitative</w:t>
            </w:r>
            <w:proofErr w:type="spellEnd"/>
          </w:p>
        </w:tc>
      </w:tr>
      <w:tr w:rsidR="004936D2" w:rsidRPr="004936D2" w14:paraId="0A865B09" w14:textId="77777777" w:rsidTr="00E85466">
        <w:trPr>
          <w:trHeight w:val="584"/>
        </w:trPr>
        <w:tc>
          <w:tcPr>
            <w:tcW w:w="144" w:type="pct"/>
            <w:shd w:val="clear" w:color="auto" w:fill="FFFFFF" w:themeFill="background1"/>
            <w:vAlign w:val="center"/>
          </w:tcPr>
          <w:p w14:paraId="582CEE48"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21</w:t>
            </w:r>
          </w:p>
        </w:tc>
        <w:tc>
          <w:tcPr>
            <w:tcW w:w="542" w:type="pct"/>
            <w:shd w:val="clear" w:color="auto" w:fill="FFFFFF" w:themeFill="background1"/>
            <w:tcMar>
              <w:top w:w="72" w:type="dxa"/>
              <w:left w:w="144" w:type="dxa"/>
              <w:bottom w:w="72" w:type="dxa"/>
              <w:right w:w="144" w:type="dxa"/>
            </w:tcMar>
            <w:vAlign w:val="center"/>
          </w:tcPr>
          <w:p w14:paraId="4EBE29CE"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Bitzer, M; Häckel, B; Leuthe, D; Ott, J; Stahl, B.</w:t>
            </w:r>
          </w:p>
        </w:tc>
        <w:tc>
          <w:tcPr>
            <w:tcW w:w="820" w:type="pct"/>
            <w:gridSpan w:val="2"/>
            <w:shd w:val="clear" w:color="auto" w:fill="FFFFFF" w:themeFill="background1"/>
            <w:tcMar>
              <w:top w:w="72" w:type="dxa"/>
              <w:left w:w="144" w:type="dxa"/>
              <w:bottom w:w="72" w:type="dxa"/>
              <w:right w:w="144" w:type="dxa"/>
            </w:tcMar>
            <w:vAlign w:val="center"/>
          </w:tcPr>
          <w:p w14:paraId="7056A205"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Organization</w:t>
            </w:r>
            <w:proofErr w:type="spellEnd"/>
            <w:r w:rsidRPr="004936D2">
              <w:rPr>
                <w:rFonts w:ascii="Times New Roman" w:eastAsia="Times New Roman" w:hAnsi="Times New Roman" w:cs="Times New Roman"/>
                <w:sz w:val="20"/>
                <w:szCs w:val="20"/>
                <w:lang w:eastAsia="es-CO"/>
              </w:rPr>
              <w:t xml:space="preserve">, </w:t>
            </w:r>
            <w:proofErr w:type="spellStart"/>
            <w:r w:rsidRPr="004936D2">
              <w:rPr>
                <w:rFonts w:ascii="Times New Roman" w:eastAsia="Times New Roman" w:hAnsi="Times New Roman" w:cs="Times New Roman"/>
                <w:sz w:val="20"/>
                <w:szCs w:val="20"/>
                <w:lang w:eastAsia="es-CO"/>
              </w:rPr>
              <w:t>humans</w:t>
            </w:r>
            <w:proofErr w:type="spellEnd"/>
            <w:r w:rsidRPr="004936D2">
              <w:rPr>
                <w:rFonts w:ascii="Times New Roman" w:eastAsia="Times New Roman" w:hAnsi="Times New Roman" w:cs="Times New Roman"/>
                <w:sz w:val="20"/>
                <w:szCs w:val="20"/>
                <w:lang w:eastAsia="es-CO"/>
              </w:rPr>
              <w:t xml:space="preserve">, </w:t>
            </w:r>
            <w:proofErr w:type="spellStart"/>
            <w:r w:rsidRPr="004936D2">
              <w:rPr>
                <w:rFonts w:ascii="Times New Roman" w:eastAsia="Times New Roman" w:hAnsi="Times New Roman" w:cs="Times New Roman"/>
                <w:sz w:val="20"/>
                <w:szCs w:val="20"/>
                <w:lang w:eastAsia="es-CO"/>
              </w:rPr>
              <w:t>tools</w:t>
            </w:r>
            <w:proofErr w:type="spellEnd"/>
            <w:r w:rsidRPr="004936D2">
              <w:rPr>
                <w:rFonts w:ascii="Times New Roman" w:eastAsia="Times New Roman" w:hAnsi="Times New Roman" w:cs="Times New Roman"/>
                <w:sz w:val="20"/>
                <w:szCs w:val="20"/>
                <w:lang w:eastAsia="es-CO"/>
              </w:rPr>
              <w:t xml:space="preserve">, </w:t>
            </w:r>
            <w:proofErr w:type="spellStart"/>
            <w:r w:rsidRPr="004936D2">
              <w:rPr>
                <w:rFonts w:ascii="Times New Roman" w:eastAsia="Times New Roman" w:hAnsi="Times New Roman" w:cs="Times New Roman"/>
                <w:sz w:val="20"/>
                <w:szCs w:val="20"/>
                <w:lang w:eastAsia="es-CO"/>
              </w:rPr>
              <w:t>processes</w:t>
            </w:r>
            <w:proofErr w:type="spellEnd"/>
            <w:r w:rsidRPr="004936D2">
              <w:rPr>
                <w:rFonts w:ascii="Times New Roman" w:eastAsia="Times New Roman" w:hAnsi="Times New Roman" w:cs="Times New Roman"/>
                <w:sz w:val="20"/>
                <w:szCs w:val="20"/>
                <w:lang w:eastAsia="es-CO"/>
              </w:rPr>
              <w:t>.</w:t>
            </w:r>
          </w:p>
        </w:tc>
        <w:tc>
          <w:tcPr>
            <w:tcW w:w="660" w:type="pct"/>
            <w:shd w:val="clear" w:color="auto" w:fill="FFFFFF" w:themeFill="background1"/>
            <w:tcMar>
              <w:top w:w="72" w:type="dxa"/>
              <w:left w:w="144" w:type="dxa"/>
              <w:bottom w:w="72" w:type="dxa"/>
              <w:right w:w="144" w:type="dxa"/>
            </w:tcMar>
            <w:vAlign w:val="center"/>
          </w:tcPr>
          <w:p w14:paraId="46928005"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w:t>
            </w:r>
          </w:p>
        </w:tc>
        <w:tc>
          <w:tcPr>
            <w:tcW w:w="985" w:type="pct"/>
            <w:shd w:val="clear" w:color="auto" w:fill="FFFFFF" w:themeFill="background1"/>
            <w:tcMar>
              <w:top w:w="72" w:type="dxa"/>
              <w:left w:w="144" w:type="dxa"/>
              <w:bottom w:w="72" w:type="dxa"/>
              <w:right w:w="144" w:type="dxa"/>
            </w:tcMar>
            <w:vAlign w:val="center"/>
          </w:tcPr>
          <w:p w14:paraId="7D46105C"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Develop a maturity model that enables organizations to systematically assess and improve their incident response management capabilities, with a particular focus on those with early or immature incident response management capabilities.</w:t>
            </w:r>
          </w:p>
        </w:tc>
        <w:tc>
          <w:tcPr>
            <w:tcW w:w="890" w:type="pct"/>
            <w:shd w:val="clear" w:color="auto" w:fill="FFFFFF" w:themeFill="background1"/>
            <w:tcMar>
              <w:top w:w="72" w:type="dxa"/>
              <w:left w:w="144" w:type="dxa"/>
              <w:bottom w:w="72" w:type="dxa"/>
              <w:right w:w="144" w:type="dxa"/>
            </w:tcMar>
            <w:vAlign w:val="center"/>
          </w:tcPr>
          <w:p w14:paraId="03EEA3BE" w14:textId="77777777" w:rsidR="004936D2" w:rsidRPr="004936D2" w:rsidRDefault="004936D2" w:rsidP="00E85466">
            <w:pPr>
              <w:spacing w:line="240" w:lineRule="auto"/>
              <w:jc w:val="center"/>
              <w:rPr>
                <w:rFonts w:ascii="Times New Roman" w:eastAsia="Times New Roman" w:hAnsi="Times New Roman" w:cs="Times New Roman"/>
                <w:sz w:val="20"/>
                <w:szCs w:val="20"/>
                <w:lang w:val="en-US" w:eastAsia="es-CO"/>
              </w:rPr>
            </w:pPr>
            <w:r w:rsidRPr="004936D2">
              <w:rPr>
                <w:rFonts w:ascii="Times New Roman" w:eastAsia="Times New Roman" w:hAnsi="Times New Roman" w:cs="Times New Roman"/>
                <w:sz w:val="20"/>
                <w:szCs w:val="20"/>
                <w:lang w:val="en-US" w:eastAsia="es-CO"/>
              </w:rPr>
              <w:t xml:space="preserve">Provide a structured, practice-based framework to improve incident management, especially in an environment where cyber threats are increasingly </w:t>
            </w:r>
            <w:proofErr w:type="gramStart"/>
            <w:r w:rsidRPr="004936D2">
              <w:rPr>
                <w:rFonts w:ascii="Times New Roman" w:eastAsia="Times New Roman" w:hAnsi="Times New Roman" w:cs="Times New Roman"/>
                <w:sz w:val="20"/>
                <w:szCs w:val="20"/>
                <w:lang w:val="en-US" w:eastAsia="es-CO"/>
              </w:rPr>
              <w:t>sophisticated</w:t>
            </w:r>
            <w:proofErr w:type="gramEnd"/>
            <w:r w:rsidRPr="004936D2">
              <w:rPr>
                <w:rFonts w:ascii="Times New Roman" w:eastAsia="Times New Roman" w:hAnsi="Times New Roman" w:cs="Times New Roman"/>
                <w:sz w:val="20"/>
                <w:szCs w:val="20"/>
                <w:lang w:val="en-US" w:eastAsia="es-CO"/>
              </w:rPr>
              <w:t xml:space="preserve"> and resources may be limited.</w:t>
            </w:r>
          </w:p>
        </w:tc>
        <w:tc>
          <w:tcPr>
            <w:tcW w:w="467" w:type="pct"/>
            <w:shd w:val="clear" w:color="auto" w:fill="FFFFFF" w:themeFill="background1"/>
            <w:tcMar>
              <w:top w:w="72" w:type="dxa"/>
              <w:left w:w="144" w:type="dxa"/>
              <w:bottom w:w="72" w:type="dxa"/>
              <w:right w:w="144" w:type="dxa"/>
            </w:tcMar>
            <w:vAlign w:val="center"/>
          </w:tcPr>
          <w:p w14:paraId="750C6F7C"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r w:rsidRPr="004936D2">
              <w:rPr>
                <w:rFonts w:ascii="Times New Roman" w:eastAsia="Times New Roman" w:hAnsi="Times New Roman" w:cs="Times New Roman"/>
                <w:sz w:val="20"/>
                <w:szCs w:val="20"/>
                <w:lang w:eastAsia="es-CO"/>
              </w:rPr>
              <w:t>-</w:t>
            </w:r>
          </w:p>
        </w:tc>
        <w:tc>
          <w:tcPr>
            <w:tcW w:w="493" w:type="pct"/>
            <w:shd w:val="clear" w:color="auto" w:fill="FFFFFF" w:themeFill="background1"/>
            <w:tcMar>
              <w:top w:w="72" w:type="dxa"/>
              <w:left w:w="144" w:type="dxa"/>
              <w:bottom w:w="72" w:type="dxa"/>
              <w:right w:w="144" w:type="dxa"/>
            </w:tcMar>
            <w:vAlign w:val="center"/>
          </w:tcPr>
          <w:p w14:paraId="791DE27A" w14:textId="77777777" w:rsidR="004936D2" w:rsidRPr="004936D2" w:rsidRDefault="004936D2" w:rsidP="00E85466">
            <w:pPr>
              <w:spacing w:line="240" w:lineRule="auto"/>
              <w:jc w:val="center"/>
              <w:rPr>
                <w:rFonts w:ascii="Times New Roman" w:eastAsia="Times New Roman" w:hAnsi="Times New Roman" w:cs="Times New Roman"/>
                <w:sz w:val="20"/>
                <w:szCs w:val="20"/>
                <w:lang w:eastAsia="es-CO"/>
              </w:rPr>
            </w:pPr>
            <w:proofErr w:type="spellStart"/>
            <w:r w:rsidRPr="004936D2">
              <w:rPr>
                <w:rFonts w:ascii="Times New Roman" w:eastAsia="Times New Roman" w:hAnsi="Times New Roman" w:cs="Times New Roman"/>
                <w:sz w:val="20"/>
                <w:szCs w:val="20"/>
                <w:lang w:eastAsia="es-CO"/>
              </w:rPr>
              <w:t>Qualitative</w:t>
            </w:r>
            <w:proofErr w:type="spellEnd"/>
            <w:r w:rsidRPr="004936D2">
              <w:rPr>
                <w:rFonts w:ascii="Times New Roman" w:eastAsia="Times New Roman" w:hAnsi="Times New Roman" w:cs="Times New Roman"/>
                <w:sz w:val="20"/>
                <w:szCs w:val="20"/>
                <w:lang w:eastAsia="es-CO"/>
              </w:rPr>
              <w:t xml:space="preserve"> and </w:t>
            </w:r>
            <w:proofErr w:type="spellStart"/>
            <w:r w:rsidRPr="004936D2">
              <w:rPr>
                <w:rFonts w:ascii="Times New Roman" w:eastAsia="Times New Roman" w:hAnsi="Times New Roman" w:cs="Times New Roman"/>
                <w:sz w:val="20"/>
                <w:szCs w:val="20"/>
                <w:lang w:eastAsia="es-CO"/>
              </w:rPr>
              <w:t>quantitative</w:t>
            </w:r>
            <w:proofErr w:type="spellEnd"/>
          </w:p>
        </w:tc>
      </w:tr>
    </w:tbl>
    <w:p w14:paraId="51F88021" w14:textId="77777777" w:rsidR="008E5050" w:rsidRPr="004936D2" w:rsidRDefault="008E5050">
      <w:pPr>
        <w:rPr>
          <w:lang w:val="en-US"/>
        </w:rPr>
      </w:pPr>
    </w:p>
    <w:sectPr w:rsidR="008E5050" w:rsidRPr="004936D2" w:rsidSect="004936D2">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6D2"/>
    <w:rsid w:val="001D36A6"/>
    <w:rsid w:val="004936D2"/>
    <w:rsid w:val="0049686E"/>
    <w:rsid w:val="00581CD3"/>
    <w:rsid w:val="008E5050"/>
    <w:rsid w:val="00A67761"/>
    <w:rsid w:val="00A80989"/>
    <w:rsid w:val="00AA30F2"/>
    <w:rsid w:val="00B724D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AB9C7"/>
  <w15:chartTrackingRefBased/>
  <w15:docId w15:val="{996518E4-59C3-4799-89A5-9FDC65678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6D2"/>
  </w:style>
  <w:style w:type="paragraph" w:styleId="Ttulo1">
    <w:name w:val="heading 1"/>
    <w:basedOn w:val="Normal"/>
    <w:next w:val="Normal"/>
    <w:link w:val="Ttulo1Car"/>
    <w:uiPriority w:val="9"/>
    <w:qFormat/>
    <w:rsid w:val="004936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4936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4936D2"/>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4936D2"/>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4936D2"/>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4936D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936D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936D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936D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936D2"/>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4936D2"/>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4936D2"/>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4936D2"/>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4936D2"/>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4936D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936D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936D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936D2"/>
    <w:rPr>
      <w:rFonts w:eastAsiaTheme="majorEastAsia" w:cstheme="majorBidi"/>
      <w:color w:val="272727" w:themeColor="text1" w:themeTint="D8"/>
    </w:rPr>
  </w:style>
  <w:style w:type="paragraph" w:styleId="Ttulo">
    <w:name w:val="Title"/>
    <w:basedOn w:val="Normal"/>
    <w:next w:val="Normal"/>
    <w:link w:val="TtuloCar"/>
    <w:uiPriority w:val="10"/>
    <w:qFormat/>
    <w:rsid w:val="004936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936D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936D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936D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936D2"/>
    <w:pPr>
      <w:spacing w:before="160"/>
      <w:jc w:val="center"/>
    </w:pPr>
    <w:rPr>
      <w:i/>
      <w:iCs/>
      <w:color w:val="404040" w:themeColor="text1" w:themeTint="BF"/>
    </w:rPr>
  </w:style>
  <w:style w:type="character" w:customStyle="1" w:styleId="CitaCar">
    <w:name w:val="Cita Car"/>
    <w:basedOn w:val="Fuentedeprrafopredeter"/>
    <w:link w:val="Cita"/>
    <w:uiPriority w:val="29"/>
    <w:rsid w:val="004936D2"/>
    <w:rPr>
      <w:i/>
      <w:iCs/>
      <w:color w:val="404040" w:themeColor="text1" w:themeTint="BF"/>
    </w:rPr>
  </w:style>
  <w:style w:type="paragraph" w:styleId="Prrafodelista">
    <w:name w:val="List Paragraph"/>
    <w:basedOn w:val="Normal"/>
    <w:uiPriority w:val="34"/>
    <w:qFormat/>
    <w:rsid w:val="004936D2"/>
    <w:pPr>
      <w:ind w:left="720"/>
      <w:contextualSpacing/>
    </w:pPr>
  </w:style>
  <w:style w:type="character" w:styleId="nfasisintenso">
    <w:name w:val="Intense Emphasis"/>
    <w:basedOn w:val="Fuentedeprrafopredeter"/>
    <w:uiPriority w:val="21"/>
    <w:qFormat/>
    <w:rsid w:val="004936D2"/>
    <w:rPr>
      <w:i/>
      <w:iCs/>
      <w:color w:val="2F5496" w:themeColor="accent1" w:themeShade="BF"/>
    </w:rPr>
  </w:style>
  <w:style w:type="paragraph" w:styleId="Citadestacada">
    <w:name w:val="Intense Quote"/>
    <w:basedOn w:val="Normal"/>
    <w:next w:val="Normal"/>
    <w:link w:val="CitadestacadaCar"/>
    <w:uiPriority w:val="30"/>
    <w:qFormat/>
    <w:rsid w:val="004936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4936D2"/>
    <w:rPr>
      <w:i/>
      <w:iCs/>
      <w:color w:val="2F5496" w:themeColor="accent1" w:themeShade="BF"/>
    </w:rPr>
  </w:style>
  <w:style w:type="character" w:styleId="Referenciaintensa">
    <w:name w:val="Intense Reference"/>
    <w:basedOn w:val="Fuentedeprrafopredeter"/>
    <w:uiPriority w:val="32"/>
    <w:qFormat/>
    <w:rsid w:val="004936D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1822</Words>
  <Characters>10027</Characters>
  <Application>Microsoft Office Word</Application>
  <DocSecurity>0</DocSecurity>
  <Lines>83</Lines>
  <Paragraphs>23</Paragraphs>
  <ScaleCrop>false</ScaleCrop>
  <Company/>
  <LinksUpToDate>false</LinksUpToDate>
  <CharactersWithSpaces>11826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Gheraldine Loreine Avila Figueroa</dc:creator>
  <cp:keywords/>
  <dc:description/>
  <cp:lastModifiedBy>Gheraldine Loreine Avila Figueroa</cp:lastModifiedBy>
  <cp:revision>1</cp:revision>
  <dcterms:created xsi:type="dcterms:W3CDTF">2024-10-27T23:04:00Z</dcterms:created>
  <dcterms:modified xsi:type="dcterms:W3CDTF">2024-10-27T23:06:00Z</dcterms:modified>
</cp:coreProperties>
</file>